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442C5" w14:textId="77777777" w:rsidR="007C7057" w:rsidRDefault="007C7057" w:rsidP="00984368">
      <w:pPr>
        <w:spacing w:line="592" w:lineRule="exact"/>
        <w:ind w:left="72"/>
        <w:jc w:val="center"/>
        <w:textAlignment w:val="baseline"/>
        <w:rPr>
          <w:rFonts w:ascii="Cambria" w:eastAsia="Cambria" w:hAnsi="Cambria"/>
          <w:b/>
          <w:color w:val="34B4E1"/>
          <w:sz w:val="43"/>
          <w:lang w:val="fr-FR"/>
        </w:rPr>
      </w:pPr>
    </w:p>
    <w:p w14:paraId="466A331C" w14:textId="4B812AAC" w:rsidR="00984368" w:rsidRPr="006B62B2" w:rsidRDefault="00984368" w:rsidP="00984368">
      <w:pPr>
        <w:spacing w:line="592" w:lineRule="exact"/>
        <w:ind w:left="72"/>
        <w:jc w:val="center"/>
        <w:textAlignment w:val="baseline"/>
        <w:rPr>
          <w:rFonts w:ascii="Cambria" w:eastAsia="Cambria" w:hAnsi="Cambria"/>
          <w:b/>
          <w:color w:val="34B4E1"/>
          <w:sz w:val="40"/>
          <w:szCs w:val="40"/>
        </w:rPr>
      </w:pPr>
      <w:r w:rsidRPr="006B62B2">
        <w:rPr>
          <w:rFonts w:ascii="Cambria" w:hAnsi="Cambria"/>
          <w:b/>
          <w:color w:val="34B4E1"/>
          <w:sz w:val="40"/>
          <w:szCs w:val="40"/>
        </w:rPr>
        <w:t>VEREINBARUNG ZWISCHEN DEM NETZBETREIBER UND DEM BENANNTEN VERTRETER EINER AKTIVITÄT ZUR GEMEINSAMEN NUTZUNG VON ENERGIE DURCH AKTIVE KUNDEN, DIE GEMEINSAM INNERHALB EINES GEBÄUDES HANDELN</w:t>
      </w:r>
    </w:p>
    <w:p w14:paraId="73379B7A" w14:textId="77777777" w:rsidR="00984368" w:rsidRDefault="00984368" w:rsidP="00984368">
      <w:pPr>
        <w:spacing w:before="1155" w:line="250" w:lineRule="exact"/>
        <w:ind w:left="72"/>
        <w:textAlignment w:val="baseline"/>
        <w:rPr>
          <w:rFonts w:ascii="Cambria" w:eastAsia="Cambria" w:hAnsi="Cambria"/>
          <w:color w:val="000000"/>
          <w:spacing w:val="-3"/>
          <w:sz w:val="24"/>
        </w:rPr>
      </w:pPr>
      <w:r>
        <w:rPr>
          <w:rFonts w:ascii="Cambria" w:hAnsi="Cambria"/>
          <w:color w:val="000000"/>
          <w:sz w:val="24"/>
        </w:rPr>
        <w:t>ZWISCHEN</w:t>
      </w:r>
    </w:p>
    <w:p w14:paraId="3F51EEF3" w14:textId="6137796F" w:rsidR="00984368" w:rsidRPr="00653019" w:rsidRDefault="00984368" w:rsidP="0036473C">
      <w:pPr>
        <w:spacing w:before="278" w:line="357" w:lineRule="exact"/>
        <w:ind w:left="74"/>
        <w:jc w:val="both"/>
        <w:textAlignment w:val="baseline"/>
        <w:rPr>
          <w:rFonts w:ascii="Cambria" w:eastAsia="Cambria" w:hAnsi="Cambria"/>
          <w:color w:val="000000"/>
        </w:rPr>
      </w:pPr>
      <w:r>
        <w:rPr>
          <w:rFonts w:ascii="Cambria" w:hAnsi="Cambria"/>
          <w:color w:val="000000"/>
        </w:rPr>
        <w:t xml:space="preserve">Der Gesellschaft </w:t>
      </w:r>
      <w:r>
        <w:rPr>
          <w:rFonts w:ascii="Cambria" w:hAnsi="Cambria"/>
          <w:color w:val="000000"/>
          <w:highlight w:val="yellow"/>
        </w:rPr>
        <w:t>[À compléter]</w:t>
      </w:r>
    </w:p>
    <w:p w14:paraId="4548B971" w14:textId="13A50B74" w:rsidR="00984368" w:rsidRDefault="00984368" w:rsidP="00D83BDC">
      <w:pPr>
        <w:spacing w:before="184" w:line="258" w:lineRule="exact"/>
        <w:ind w:left="72"/>
        <w:jc w:val="both"/>
        <w:textAlignment w:val="baseline"/>
        <w:rPr>
          <w:rFonts w:ascii="Cambria" w:eastAsia="Cambria" w:hAnsi="Cambria"/>
          <w:color w:val="000000"/>
          <w:sz w:val="24"/>
        </w:rPr>
      </w:pPr>
      <w:r>
        <w:rPr>
          <w:rFonts w:ascii="Cambria" w:hAnsi="Cambria"/>
          <w:color w:val="000000"/>
          <w:sz w:val="24"/>
        </w:rPr>
        <w:t>Im Folgenden als „Netzbetreiber“ bezeichnet</w:t>
      </w:r>
    </w:p>
    <w:p w14:paraId="11FF03BD" w14:textId="77777777" w:rsidR="00984368" w:rsidRDefault="00984368" w:rsidP="00984368">
      <w:pPr>
        <w:spacing w:before="832" w:line="250" w:lineRule="exact"/>
        <w:ind w:left="72"/>
        <w:textAlignment w:val="baseline"/>
        <w:rPr>
          <w:rFonts w:ascii="Cambria" w:eastAsia="Cambria" w:hAnsi="Cambria"/>
          <w:color w:val="000000"/>
          <w:spacing w:val="-1"/>
          <w:sz w:val="24"/>
        </w:rPr>
      </w:pPr>
      <w:r>
        <w:rPr>
          <w:rFonts w:ascii="Cambria" w:hAnsi="Cambria"/>
          <w:color w:val="000000"/>
          <w:sz w:val="24"/>
        </w:rPr>
        <w:t>EINERSEITS</w:t>
      </w:r>
    </w:p>
    <w:p w14:paraId="7F3F1B69" w14:textId="77777777" w:rsidR="00984368" w:rsidRDefault="00984368" w:rsidP="00984368">
      <w:pPr>
        <w:spacing w:before="292" w:line="250" w:lineRule="exact"/>
        <w:ind w:left="72"/>
        <w:textAlignment w:val="baseline"/>
        <w:rPr>
          <w:rFonts w:ascii="Cambria" w:eastAsia="Cambria" w:hAnsi="Cambria"/>
          <w:color w:val="000000"/>
          <w:spacing w:val="26"/>
          <w:sz w:val="24"/>
        </w:rPr>
      </w:pPr>
      <w:r>
        <w:rPr>
          <w:rFonts w:ascii="Cambria" w:hAnsi="Cambria"/>
          <w:color w:val="000000"/>
          <w:sz w:val="24"/>
        </w:rPr>
        <w:t>UND</w:t>
      </w:r>
    </w:p>
    <w:p w14:paraId="330B7C5D" w14:textId="77777777" w:rsidR="00984368" w:rsidRDefault="00984368" w:rsidP="00984368">
      <w:pPr>
        <w:spacing w:before="835" w:line="258" w:lineRule="exact"/>
        <w:ind w:left="72"/>
        <w:textAlignment w:val="baseline"/>
        <w:rPr>
          <w:rFonts w:ascii="Cambria" w:eastAsia="Cambria" w:hAnsi="Cambria"/>
          <w:color w:val="000000"/>
          <w:sz w:val="24"/>
        </w:rPr>
      </w:pPr>
      <w:r>
        <w:rPr>
          <w:rFonts w:ascii="Cambria" w:hAnsi="Cambria"/>
          <w:b/>
          <w:color w:val="000000"/>
          <w:sz w:val="24"/>
          <w:highlight w:val="yellow"/>
        </w:rPr>
        <w:t>[À compléter]</w:t>
      </w:r>
      <w:r>
        <w:rPr>
          <w:rFonts w:ascii="Cambria" w:hAnsi="Cambria"/>
          <w:b/>
          <w:color w:val="000000"/>
          <w:sz w:val="24"/>
        </w:rPr>
        <w:br/>
      </w:r>
      <w:r>
        <w:rPr>
          <w:rFonts w:ascii="Cambria" w:hAnsi="Cambria"/>
          <w:b/>
          <w:color w:val="000000"/>
          <w:sz w:val="24"/>
        </w:rPr>
        <w:br/>
      </w:r>
      <w:r>
        <w:rPr>
          <w:rFonts w:ascii="Cambria" w:hAnsi="Cambria"/>
          <w:color w:val="000000"/>
          <w:sz w:val="24"/>
        </w:rPr>
        <w:t>Im Folgenden als „benannter Vertreter“ bezeichnet</w:t>
      </w:r>
    </w:p>
    <w:p w14:paraId="5AAEC0F1" w14:textId="77777777" w:rsidR="00984368" w:rsidRDefault="00984368" w:rsidP="00984368">
      <w:pPr>
        <w:spacing w:before="644" w:line="250" w:lineRule="exact"/>
        <w:ind w:left="72"/>
        <w:textAlignment w:val="baseline"/>
        <w:rPr>
          <w:rFonts w:ascii="Cambria" w:eastAsia="Cambria" w:hAnsi="Cambria"/>
          <w:color w:val="000000"/>
          <w:spacing w:val="-1"/>
          <w:sz w:val="24"/>
        </w:rPr>
      </w:pPr>
      <w:r>
        <w:rPr>
          <w:rFonts w:ascii="Cambria" w:hAnsi="Cambria"/>
          <w:color w:val="000000"/>
          <w:sz w:val="24"/>
        </w:rPr>
        <w:t>ANDERERSEITS</w:t>
      </w:r>
    </w:p>
    <w:p w14:paraId="7D2CD07D" w14:textId="3990AA6C" w:rsidR="00984368" w:rsidRDefault="00984368" w:rsidP="00984368">
      <w:pPr>
        <w:spacing w:before="835" w:line="258" w:lineRule="exact"/>
        <w:ind w:left="72"/>
        <w:textAlignment w:val="baseline"/>
        <w:rPr>
          <w:rFonts w:ascii="Cambria" w:eastAsia="Cambria" w:hAnsi="Cambria"/>
          <w:color w:val="000000"/>
          <w:sz w:val="24"/>
        </w:rPr>
      </w:pPr>
      <w:r>
        <w:rPr>
          <w:rFonts w:ascii="Cambria" w:hAnsi="Cambria"/>
          <w:color w:val="000000"/>
          <w:sz w:val="24"/>
        </w:rPr>
        <w:t>im Folgenden jeweils einzeln als „eine Partei“ oder gemeinsam als „die Parteien“ bezeichnet.</w:t>
      </w:r>
    </w:p>
    <w:p w14:paraId="2DA252D7" w14:textId="102ECEC5" w:rsidR="00CE4F71" w:rsidRDefault="00CE4F71" w:rsidP="003C0530">
      <w:pPr>
        <w:spacing w:before="835" w:line="258" w:lineRule="exact"/>
        <w:textAlignment w:val="baseline"/>
        <w:rPr>
          <w:rFonts w:ascii="Cambria" w:eastAsia="Cambria" w:hAnsi="Cambria"/>
          <w:color w:val="000000"/>
          <w:sz w:val="24"/>
          <w:lang w:val="fr-FR"/>
        </w:rPr>
      </w:pPr>
    </w:p>
    <w:p w14:paraId="6EBF16C2" w14:textId="77777777" w:rsidR="00B0227B" w:rsidRDefault="00B0227B" w:rsidP="003C0530">
      <w:pPr>
        <w:spacing w:before="835" w:line="258" w:lineRule="exact"/>
        <w:textAlignment w:val="baseline"/>
        <w:rPr>
          <w:rFonts w:ascii="Cambria" w:eastAsia="Cambria" w:hAnsi="Cambria"/>
          <w:color w:val="000000"/>
          <w:sz w:val="24"/>
          <w:lang w:val="fr-FR"/>
        </w:rPr>
      </w:pPr>
    </w:p>
    <w:p w14:paraId="5636D60B" w14:textId="77777777" w:rsidR="00984368" w:rsidRPr="00984368" w:rsidRDefault="00984368" w:rsidP="00984368">
      <w:pPr>
        <w:spacing w:before="39" w:line="352" w:lineRule="exact"/>
        <w:ind w:right="72"/>
        <w:textAlignment w:val="baseline"/>
        <w:rPr>
          <w:rFonts w:ascii="Calibri Light" w:eastAsia="Calibri Light" w:hAnsi="Calibri Light"/>
          <w:color w:val="000000"/>
          <w:spacing w:val="-3"/>
          <w:sz w:val="32"/>
        </w:rPr>
      </w:pPr>
      <w:r>
        <w:rPr>
          <w:rFonts w:ascii="Calibri Light" w:hAnsi="Calibri Light"/>
          <w:color w:val="000000"/>
          <w:sz w:val="32"/>
        </w:rPr>
        <w:t>1. Präambel</w:t>
      </w:r>
    </w:p>
    <w:p w14:paraId="10BE3F56" w14:textId="4098DBD3" w:rsidR="00984368" w:rsidRPr="00653019"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möchte eine Aktivität zur gemeinsamen Nutzung von Energie innerhalb eines Gebäudes, das an das Netz des Netzbetreibers angeschlossen ist, umsetzen.</w:t>
      </w:r>
    </w:p>
    <w:p w14:paraId="6D9089D3" w14:textId="06CA0168" w:rsidR="00984368" w:rsidRPr="00653019"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Diese Aktivität zur gemeinsamen Nutzung von Energie wurde dem Netzbetreiber gemeldet.</w:t>
      </w:r>
    </w:p>
    <w:p w14:paraId="5D045DB6" w14:textId="36A13709" w:rsidR="00984368" w:rsidRPr="00653019"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Nach Prüfung des Antrags durch den Netzbetreiber hat dieser festgestellt, dass alle Bedingungen in Verbindung mit der Aktivität zur gemeinsamen Nutzung von Energie erfüllt sind.</w:t>
      </w:r>
    </w:p>
    <w:p w14:paraId="10D997AA" w14:textId="3F49E18A" w:rsidR="00984368" w:rsidRPr="00653019"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vorliegende Vereinbarung wird somit </w:t>
      </w:r>
      <w:bookmarkStart w:id="0" w:name="_Hlk145413261"/>
      <w:r>
        <w:rPr>
          <w:rFonts w:ascii="Cambria" w:hAnsi="Cambria"/>
          <w:color w:val="000000"/>
        </w:rPr>
        <w:t>in Anwendung von Artikel 35nonies, §2, Abs. 6 des Dekrets vom 12. April 2001 bezüglich der Organisation des regionalen Elektrizitätsmarktes und des Erlasses der Wallonischen Regierung vom 17. März 2023 über Energiegemeinschaften und die gemeinsame Nutzung von Energie abgeschlossen (im Folgenden als „die Vereinbarung“ bezeichnet).</w:t>
      </w:r>
      <w:bookmarkEnd w:id="0"/>
    </w:p>
    <w:p w14:paraId="2D69AAA3" w14:textId="310E139D" w:rsidR="001A2347" w:rsidRDefault="001A2347" w:rsidP="007C7057">
      <w:pPr>
        <w:spacing w:before="39" w:line="352" w:lineRule="exact"/>
        <w:ind w:right="72"/>
        <w:jc w:val="both"/>
        <w:textAlignment w:val="baseline"/>
        <w:rPr>
          <w:rFonts w:ascii="Cambria" w:eastAsia="Calibri Light" w:hAnsi="Cambria"/>
          <w:color w:val="000000"/>
          <w:spacing w:val="-3"/>
          <w:szCs w:val="16"/>
          <w:lang w:val="fr-FR"/>
        </w:rPr>
      </w:pPr>
    </w:p>
    <w:p w14:paraId="04133239" w14:textId="47AAD159" w:rsidR="001A2347" w:rsidRDefault="001A2347" w:rsidP="007C7057">
      <w:pPr>
        <w:spacing w:before="39" w:line="352" w:lineRule="exact"/>
        <w:ind w:right="72"/>
        <w:jc w:val="both"/>
        <w:textAlignment w:val="baseline"/>
        <w:rPr>
          <w:rFonts w:ascii="Cambria" w:eastAsia="Calibri Light" w:hAnsi="Cambria"/>
          <w:color w:val="000000"/>
          <w:spacing w:val="-3"/>
          <w:szCs w:val="16"/>
        </w:rPr>
      </w:pPr>
      <w:r>
        <w:rPr>
          <w:rFonts w:ascii="Cambria" w:hAnsi="Cambria"/>
          <w:color w:val="000000"/>
          <w:highlight w:val="yellow"/>
        </w:rPr>
        <w:t>ODER</w:t>
      </w:r>
    </w:p>
    <w:p w14:paraId="0449B2FD" w14:textId="3C20EEE9" w:rsidR="001A2347" w:rsidRPr="00653019" w:rsidRDefault="001A2347" w:rsidP="00653019">
      <w:pPr>
        <w:spacing w:before="278" w:line="357" w:lineRule="exact"/>
        <w:ind w:left="216"/>
        <w:jc w:val="both"/>
        <w:textAlignment w:val="baseline"/>
        <w:rPr>
          <w:rFonts w:ascii="Cambria" w:eastAsia="Cambria" w:hAnsi="Cambria"/>
          <w:color w:val="000000"/>
        </w:rPr>
      </w:pPr>
      <w:r>
        <w:rPr>
          <w:rFonts w:ascii="Cambria" w:hAnsi="Cambria"/>
          <w:color w:val="000000"/>
        </w:rPr>
        <w:t xml:space="preserve">Nach Prüfung des Antrags durch den Netzbetreiber hat dieser festgestellt, dass die Bedingung in Verbindung mit </w:t>
      </w:r>
      <w:r>
        <w:rPr>
          <w:rFonts w:ascii="Cambria" w:hAnsi="Cambria"/>
          <w:color w:val="000000"/>
          <w:highlight w:val="yellow"/>
        </w:rPr>
        <w:t>[indiquer condition non rencontrée]</w:t>
      </w:r>
      <w:r>
        <w:rPr>
          <w:rFonts w:ascii="Cambria" w:hAnsi="Cambria"/>
          <w:color w:val="000000"/>
        </w:rPr>
        <w:t xml:space="preserve"> nicht erfüllt ist. </w:t>
      </w:r>
    </w:p>
    <w:p w14:paraId="00972416" w14:textId="09D109EB" w:rsidR="0038248F" w:rsidRDefault="001A2347" w:rsidP="00653019">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Netzbetreiber legt die vorliegende Vereinbarung, die in Anwendung von Artikel 35nonies, §2, Abs. 6 des Dekrets vom 12. April 2001 bezüglich der Organisation des regionalen Elektrizitätsmarktes und des Erlasses der Wallonischen Regierung vom 17. März 2023 über Energiegemeinschaften und die gemeinsame Nutzung von Energie abgeschlossen wurde, unter der aufschiebenden Bedingung vor, dass </w:t>
      </w:r>
      <w:r>
        <w:rPr>
          <w:rFonts w:ascii="Cambria" w:hAnsi="Cambria"/>
          <w:color w:val="000000"/>
          <w:highlight w:val="yellow"/>
        </w:rPr>
        <w:t>[à compléter]</w:t>
      </w:r>
      <w:r>
        <w:rPr>
          <w:rFonts w:ascii="Cambria" w:hAnsi="Cambria"/>
          <w:color w:val="000000"/>
        </w:rPr>
        <w:t>.</w:t>
      </w:r>
    </w:p>
    <w:p w14:paraId="1A643601" w14:textId="0ACBCE15" w:rsidR="001A2347" w:rsidRPr="00653019" w:rsidRDefault="001A2347" w:rsidP="00653019">
      <w:pPr>
        <w:spacing w:before="278" w:line="357" w:lineRule="exact"/>
        <w:ind w:left="216"/>
        <w:jc w:val="both"/>
        <w:textAlignment w:val="baseline"/>
        <w:rPr>
          <w:rFonts w:ascii="Cambria" w:eastAsia="Cambria" w:hAnsi="Cambria"/>
          <w:color w:val="000000"/>
        </w:rPr>
      </w:pPr>
      <w:r>
        <w:rPr>
          <w:rFonts w:ascii="Cambria" w:hAnsi="Cambria"/>
          <w:color w:val="000000"/>
        </w:rPr>
        <w:t>Wenn der Nachweis über die Erfüllung der aufschiebenden Bedingung nicht eingeht, kann die Aktivität zur gemeinsamen Nutzung von Energie nicht beginnen.</w:t>
      </w:r>
    </w:p>
    <w:p w14:paraId="008DD069" w14:textId="1EFBC6D7" w:rsidR="001A2347" w:rsidRDefault="001A2347" w:rsidP="007C7057">
      <w:pPr>
        <w:spacing w:before="39" w:line="352" w:lineRule="exact"/>
        <w:ind w:right="72"/>
        <w:jc w:val="both"/>
        <w:textAlignment w:val="baseline"/>
        <w:rPr>
          <w:rFonts w:ascii="Cambria" w:eastAsia="Calibri Light" w:hAnsi="Cambria"/>
          <w:color w:val="000000"/>
          <w:spacing w:val="-3"/>
          <w:szCs w:val="16"/>
          <w:lang w:val="fr-FR"/>
        </w:rPr>
      </w:pPr>
    </w:p>
    <w:p w14:paraId="5CF46FF9" w14:textId="77777777" w:rsidR="00BA0B7B" w:rsidRPr="00984368" w:rsidRDefault="00BA0B7B" w:rsidP="007C7057">
      <w:pPr>
        <w:spacing w:before="39" w:line="352" w:lineRule="exact"/>
        <w:ind w:right="72"/>
        <w:jc w:val="both"/>
        <w:textAlignment w:val="baseline"/>
        <w:rPr>
          <w:rFonts w:ascii="Cambria" w:eastAsia="Calibri Light" w:hAnsi="Cambria"/>
          <w:color w:val="000000"/>
          <w:spacing w:val="-3"/>
          <w:szCs w:val="16"/>
          <w:lang w:val="fr-FR"/>
        </w:rPr>
      </w:pPr>
    </w:p>
    <w:p w14:paraId="069C0025" w14:textId="77777777" w:rsidR="00984368" w:rsidRPr="00984368" w:rsidRDefault="00984368" w:rsidP="00984368">
      <w:pPr>
        <w:spacing w:before="260" w:line="345" w:lineRule="exact"/>
        <w:ind w:left="72"/>
        <w:textAlignment w:val="baseline"/>
        <w:rPr>
          <w:rFonts w:ascii="Calibri Light" w:eastAsia="Calibri Light" w:hAnsi="Calibri Light"/>
          <w:color w:val="000000"/>
          <w:spacing w:val="-2"/>
          <w:sz w:val="32"/>
        </w:rPr>
      </w:pPr>
      <w:r>
        <w:rPr>
          <w:rFonts w:ascii="Calibri Light" w:hAnsi="Calibri Light"/>
          <w:color w:val="000000"/>
          <w:sz w:val="32"/>
        </w:rPr>
        <w:t xml:space="preserve">2. Zweck </w:t>
      </w:r>
    </w:p>
    <w:p w14:paraId="22AD874C" w14:textId="7D0D0C63" w:rsidR="00984368"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Ziel der vorliegenden Vereinbarung ist es, die Rechte und Pflichten der Parteien, die Art und Weise der Übermittlung der Zählerdaten durch den Netzbetreiber sowie den anzuwendenden Verteilerschlüssel festzulegen.</w:t>
      </w:r>
    </w:p>
    <w:p w14:paraId="45A6DCBE" w14:textId="7776D766" w:rsidR="00B0227B" w:rsidRDefault="00B0227B" w:rsidP="00653019">
      <w:pPr>
        <w:spacing w:before="278" w:line="357" w:lineRule="exact"/>
        <w:ind w:left="216"/>
        <w:jc w:val="both"/>
        <w:textAlignment w:val="baseline"/>
        <w:rPr>
          <w:rFonts w:ascii="Cambria" w:eastAsia="Cambria" w:hAnsi="Cambria"/>
          <w:color w:val="000000"/>
          <w:lang w:val="fr-FR"/>
        </w:rPr>
      </w:pPr>
    </w:p>
    <w:p w14:paraId="25324E88" w14:textId="77777777" w:rsidR="00B0227B" w:rsidRDefault="00B0227B" w:rsidP="00FD5B51">
      <w:pPr>
        <w:spacing w:before="278" w:line="357" w:lineRule="exact"/>
        <w:ind w:left="216"/>
        <w:jc w:val="both"/>
        <w:textAlignment w:val="baseline"/>
        <w:rPr>
          <w:rFonts w:ascii="Cambria" w:eastAsia="Cambria" w:hAnsi="Cambria"/>
          <w:color w:val="000000"/>
          <w:lang w:val="fr-FR"/>
        </w:rPr>
      </w:pPr>
    </w:p>
    <w:p w14:paraId="30B680C0" w14:textId="25CEDE35" w:rsidR="00984368" w:rsidRDefault="00984368" w:rsidP="00984368">
      <w:pPr>
        <w:spacing w:before="550" w:line="343" w:lineRule="exact"/>
        <w:textAlignment w:val="baseline"/>
        <w:rPr>
          <w:rFonts w:ascii="Calibri Light" w:eastAsia="Calibri Light" w:hAnsi="Calibri Light"/>
          <w:color w:val="000000"/>
          <w:sz w:val="32"/>
        </w:rPr>
      </w:pPr>
      <w:r>
        <w:rPr>
          <w:rFonts w:ascii="Calibri Light" w:hAnsi="Calibri Light"/>
          <w:color w:val="000000"/>
          <w:sz w:val="32"/>
        </w:rPr>
        <w:t xml:space="preserve">3. </w:t>
      </w:r>
      <w:r>
        <w:rPr>
          <w:rFonts w:ascii="Calibri Light" w:hAnsi="Calibri Light"/>
          <w:color w:val="000000"/>
          <w:sz w:val="32"/>
          <w:highlight w:val="yellow"/>
        </w:rPr>
        <w:t>Beschreibung der gemeinsamen Nutzung von Energie</w:t>
      </w:r>
    </w:p>
    <w:p w14:paraId="0C2F5EF7" w14:textId="5ED78CEA" w:rsidR="003C0530" w:rsidRPr="008E7D6F" w:rsidRDefault="003C0530" w:rsidP="008E7D6F">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t>[À compléter en fonction du cas d’espèce : reprendre les éléments essentiels]</w:t>
      </w:r>
    </w:p>
    <w:p w14:paraId="6B08C23C" w14:textId="77777777" w:rsidR="00D752BB" w:rsidRPr="00D752BB" w:rsidRDefault="00D752BB" w:rsidP="00D752BB">
      <w:pPr>
        <w:spacing w:before="39" w:line="352" w:lineRule="exact"/>
        <w:ind w:right="72"/>
        <w:jc w:val="both"/>
        <w:textAlignment w:val="baseline"/>
        <w:rPr>
          <w:rFonts w:ascii="Cambria" w:eastAsia="Calibri Light" w:hAnsi="Cambria"/>
          <w:color w:val="000000"/>
          <w:spacing w:val="-3"/>
          <w:szCs w:val="16"/>
          <w:lang w:val="fr-FR"/>
        </w:rPr>
      </w:pPr>
    </w:p>
    <w:p w14:paraId="64760FED" w14:textId="79819949" w:rsidR="00984368" w:rsidRPr="00984368" w:rsidRDefault="00984368" w:rsidP="00984368">
      <w:pPr>
        <w:spacing w:before="291" w:line="371" w:lineRule="exact"/>
        <w:ind w:right="72"/>
        <w:textAlignment w:val="baseline"/>
        <w:rPr>
          <w:rFonts w:ascii="Calibri Light" w:eastAsia="Calibri Light" w:hAnsi="Calibri Light"/>
          <w:color w:val="000000"/>
          <w:sz w:val="32"/>
        </w:rPr>
      </w:pPr>
      <w:r>
        <w:rPr>
          <w:rFonts w:ascii="Calibri Light" w:hAnsi="Calibri Light"/>
          <w:color w:val="000000"/>
          <w:sz w:val="32"/>
        </w:rPr>
        <w:t>4. Benannter Vertreter der gemeinsamen Nutzung von Energie</w:t>
      </w:r>
    </w:p>
    <w:p w14:paraId="204DF08F" w14:textId="17B8D3C5" w:rsidR="00984368" w:rsidRPr="00653019"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Vertreter der gemeinsamen Nutzung von Energie wurden von allen aktiven Kunden, die gemeinsam handeln, benannt. Er ist der einzige Ansprechpartner des Netzbetreibers und handelt im Rahmen der Aktivität zur gemeinsamen Nutzung von Energie im Namen und Auftrag der Kunden. </w:t>
      </w:r>
    </w:p>
    <w:p w14:paraId="69126248" w14:textId="50EC9A44" w:rsidR="00984368" w:rsidRPr="00653019"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 xml:space="preserve">Hierzu erklärt der benannte Vertreter, ordnungsgemäß von den aktiven Kunden, die gemeinsam handeln, dazu befugt worden zu sein, sie für die Durchführung der vorliegenden Vereinbarung zu vertreten. </w:t>
      </w:r>
    </w:p>
    <w:p w14:paraId="1EBCF029" w14:textId="7C40A69E" w:rsidR="00D15D51" w:rsidRPr="00653019"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Vertreter der gemeinsamen Nutzung von Energie legt jedem der von der gemeinsamen Nutzung von Energie betroffenen aktiven Kunden eine Kopie der vorliegenden Vereinbarung vor. </w:t>
      </w:r>
    </w:p>
    <w:p w14:paraId="353EE815" w14:textId="33859FA8" w:rsidR="00DC7E83" w:rsidRDefault="00984368" w:rsidP="00653019">
      <w:pPr>
        <w:spacing w:before="278" w:line="357" w:lineRule="exact"/>
        <w:ind w:left="216"/>
        <w:jc w:val="both"/>
        <w:textAlignment w:val="baseline"/>
        <w:rPr>
          <w:rFonts w:ascii="Cambria" w:eastAsia="Cambria" w:hAnsi="Cambria"/>
          <w:color w:val="000000"/>
        </w:rPr>
      </w:pPr>
      <w:r>
        <w:rPr>
          <w:rFonts w:ascii="Cambria" w:hAnsi="Cambria"/>
          <w:color w:val="000000"/>
        </w:rPr>
        <w:t>In Anhang 1 zur vorliegenden Vereinbarung befindet sich die Liste der Erzeugungsanlagen und der aktiven Kunden, die an der gemeinsamen Nutzung von Energie teilnehmen.</w:t>
      </w:r>
    </w:p>
    <w:p w14:paraId="2712DCAA" w14:textId="77777777" w:rsidR="00DC7E83" w:rsidRPr="00D752BB" w:rsidRDefault="00DC7E83" w:rsidP="00D752BB">
      <w:pPr>
        <w:spacing w:before="39" w:line="352" w:lineRule="exact"/>
        <w:ind w:right="72"/>
        <w:jc w:val="both"/>
        <w:textAlignment w:val="baseline"/>
        <w:rPr>
          <w:rFonts w:ascii="Cambria" w:eastAsia="Calibri Light" w:hAnsi="Cambria"/>
          <w:color w:val="000000"/>
          <w:spacing w:val="-3"/>
          <w:szCs w:val="16"/>
          <w:lang w:val="fr-FR"/>
        </w:rPr>
      </w:pPr>
    </w:p>
    <w:p w14:paraId="7083D4E8" w14:textId="67862696" w:rsidR="00D752BB" w:rsidRDefault="009D24E1" w:rsidP="00D752BB">
      <w:pPr>
        <w:spacing w:before="291" w:line="371" w:lineRule="exact"/>
        <w:ind w:right="72"/>
        <w:textAlignment w:val="baseline"/>
        <w:rPr>
          <w:rFonts w:ascii="Calibri Light" w:eastAsia="Calibri Light" w:hAnsi="Calibri Light"/>
          <w:color w:val="000000"/>
          <w:sz w:val="32"/>
        </w:rPr>
      </w:pPr>
      <w:r>
        <w:rPr>
          <w:rFonts w:ascii="Calibri Light" w:hAnsi="Calibri Light"/>
          <w:color w:val="000000"/>
          <w:sz w:val="32"/>
        </w:rPr>
        <w:t>5. Verteilerschlüssel</w:t>
      </w:r>
    </w:p>
    <w:p w14:paraId="268850B3" w14:textId="6ED15A58" w:rsidR="006C0067" w:rsidRPr="00DE18DA" w:rsidRDefault="00DC7E83" w:rsidP="00D752BB">
      <w:pPr>
        <w:spacing w:before="278" w:line="357" w:lineRule="exact"/>
        <w:ind w:left="216"/>
        <w:jc w:val="both"/>
        <w:textAlignment w:val="baseline"/>
        <w:rPr>
          <w:rFonts w:ascii="Cambria" w:eastAsia="Cambria" w:hAnsi="Cambria"/>
          <w:color w:val="000000"/>
        </w:rPr>
      </w:pPr>
      <w:r>
        <w:rPr>
          <w:rFonts w:ascii="Cambria" w:hAnsi="Cambria"/>
          <w:color w:val="000000"/>
        </w:rPr>
        <w:t>Die Verteilung der erzeugten Mengen, die in das Netz eingespeist und für die Aktivität zur gemeinsamen Nutzung von Energie bereitgestellt werden, erfolgt durch Anwendung des gewählten Verteilerschlüssels, der dem Netzbetreiber gemäß dem Benachrichtigungsverfahren mitgeteilt wurde.</w:t>
      </w:r>
    </w:p>
    <w:p w14:paraId="611AE742" w14:textId="3D4BC681" w:rsidR="006C0067" w:rsidRPr="00DE18DA" w:rsidRDefault="00B16019" w:rsidP="00DE18DA">
      <w:pPr>
        <w:spacing w:before="278" w:line="357" w:lineRule="exact"/>
        <w:ind w:left="216"/>
        <w:jc w:val="both"/>
        <w:textAlignment w:val="baseline"/>
        <w:rPr>
          <w:rFonts w:ascii="Cambria" w:eastAsia="Cambria" w:hAnsi="Cambria"/>
          <w:color w:val="000000"/>
        </w:rPr>
      </w:pPr>
      <w:r>
        <w:rPr>
          <w:rFonts w:ascii="Cambria" w:hAnsi="Cambria"/>
          <w:color w:val="000000"/>
        </w:rPr>
        <w:t xml:space="preserve">Für diese gemeinsame Nutzung von Energie wurde folgender Verteilerschlüssel ausgewählt: </w:t>
      </w:r>
    </w:p>
    <w:p w14:paraId="6B05F143" w14:textId="3D069E16" w:rsidR="00B16019" w:rsidRDefault="00B16019" w:rsidP="00FD5B51">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t>[A compléter]</w:t>
      </w:r>
    </w:p>
    <w:p w14:paraId="7868F7F2" w14:textId="1B63978B" w:rsidR="00DE18DA" w:rsidRDefault="00DE18DA" w:rsidP="00DE18DA">
      <w:pPr>
        <w:spacing w:before="278" w:line="357" w:lineRule="exact"/>
        <w:ind w:left="216"/>
        <w:jc w:val="both"/>
        <w:textAlignment w:val="baseline"/>
        <w:rPr>
          <w:rFonts w:ascii="Cambria" w:eastAsia="Cambria" w:hAnsi="Cambria"/>
          <w:color w:val="000000"/>
          <w:lang w:val="fr-FR"/>
        </w:rPr>
      </w:pPr>
    </w:p>
    <w:p w14:paraId="56B96FDC" w14:textId="17E06C0A" w:rsidR="00AC0229" w:rsidRDefault="00AC0229" w:rsidP="00DE18DA">
      <w:pPr>
        <w:spacing w:before="278" w:line="357" w:lineRule="exact"/>
        <w:ind w:left="216"/>
        <w:jc w:val="both"/>
        <w:textAlignment w:val="baseline"/>
        <w:rPr>
          <w:rFonts w:ascii="Cambria" w:eastAsia="Cambria" w:hAnsi="Cambria"/>
          <w:color w:val="000000"/>
          <w:lang w:val="fr-FR"/>
        </w:rPr>
      </w:pPr>
    </w:p>
    <w:p w14:paraId="1665AEE6" w14:textId="77777777" w:rsidR="00F95F15" w:rsidRDefault="00F95F15" w:rsidP="00CF3745">
      <w:pPr>
        <w:jc w:val="both"/>
        <w:textAlignment w:val="baseline"/>
        <w:rPr>
          <w:rFonts w:ascii="Cambria" w:eastAsia="Calibri Light" w:hAnsi="Cambria"/>
          <w:color w:val="000000"/>
          <w:szCs w:val="16"/>
          <w:lang w:val="fr-FR"/>
        </w:rPr>
      </w:pPr>
    </w:p>
    <w:p w14:paraId="0C48A923" w14:textId="26C9505A" w:rsidR="00F95F15" w:rsidRPr="00D752BB" w:rsidRDefault="009D24E1" w:rsidP="00D752BB">
      <w:pPr>
        <w:spacing w:before="291" w:line="371" w:lineRule="exact"/>
        <w:ind w:right="72"/>
        <w:textAlignment w:val="baseline"/>
        <w:rPr>
          <w:rFonts w:ascii="Calibri Light" w:eastAsia="Calibri Light" w:hAnsi="Calibri Light"/>
          <w:color w:val="000000"/>
          <w:sz w:val="32"/>
        </w:rPr>
      </w:pPr>
      <w:r>
        <w:rPr>
          <w:rFonts w:ascii="Calibri Light" w:hAnsi="Calibri Light"/>
          <w:color w:val="000000"/>
          <w:sz w:val="32"/>
        </w:rPr>
        <w:lastRenderedPageBreak/>
        <w:t>6. Pflichten der Parteien</w:t>
      </w:r>
    </w:p>
    <w:p w14:paraId="5A8D4FC5" w14:textId="6CB1ABDC" w:rsidR="00F95F15" w:rsidRDefault="009D24E1" w:rsidP="00F95F15">
      <w:pPr>
        <w:spacing w:before="159" w:line="276" w:lineRule="exact"/>
        <w:ind w:left="72"/>
        <w:textAlignment w:val="baseline"/>
        <w:rPr>
          <w:rFonts w:ascii="Arial" w:eastAsia="Arial" w:hAnsi="Arial"/>
          <w:b/>
          <w:color w:val="000000"/>
          <w:sz w:val="24"/>
        </w:rPr>
      </w:pPr>
      <w:r>
        <w:rPr>
          <w:rFonts w:ascii="Arial" w:hAnsi="Arial"/>
          <w:b/>
          <w:color w:val="000000"/>
          <w:sz w:val="24"/>
        </w:rPr>
        <w:t>6.1 Pflichten des benannten Vertreters</w:t>
      </w:r>
    </w:p>
    <w:p w14:paraId="24B7B375" w14:textId="256C79E8" w:rsidR="003144BA" w:rsidRDefault="009D24E1" w:rsidP="00D752BB">
      <w:pPr>
        <w:spacing w:before="261" w:line="293" w:lineRule="exact"/>
        <w:ind w:left="1276" w:right="144" w:hanging="709"/>
        <w:jc w:val="both"/>
        <w:textAlignment w:val="baseline"/>
        <w:rPr>
          <w:rFonts w:ascii="Arial" w:eastAsia="Arial" w:hAnsi="Arial"/>
          <w:b/>
          <w:i/>
          <w:color w:val="000000"/>
        </w:rPr>
      </w:pPr>
      <w:r>
        <w:rPr>
          <w:rFonts w:ascii="Arial" w:hAnsi="Arial"/>
          <w:b/>
          <w:i/>
          <w:color w:val="000000"/>
        </w:rPr>
        <w:t>6.1.1 Pflicht der Teilnehmer, über einen Smart Meter/AMR zu verfügen</w:t>
      </w:r>
    </w:p>
    <w:p w14:paraId="366C5184" w14:textId="652BE511" w:rsidR="003144BA" w:rsidRPr="00DE18DA" w:rsidRDefault="003144BA" w:rsidP="00DE18DA">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stellt sicher, dass alle Teilnehmer der Aktivität zur gemeinsamen Nutzung von Energie mit einem Smart Meter oder einem ARM-Zähler gemäß Artikel 35 octies, §3 des Dekrets vom 12. April 2001 bezüglich der Organisation des regionalen Elektrizitätsmarktes ausgestattet sind, mit dem die gemeinsam genutzte Strommenge auf Grundlage des in dieser Vereinbarung festgelegten Verteilerschlüssels genau bestimmt werden kann.</w:t>
      </w:r>
    </w:p>
    <w:p w14:paraId="1C0B55AC" w14:textId="52FAC904" w:rsidR="00E12C77" w:rsidRPr="00270AFE" w:rsidRDefault="00E12C77" w:rsidP="00DE18DA">
      <w:pPr>
        <w:spacing w:before="278" w:line="357" w:lineRule="exact"/>
        <w:ind w:left="216"/>
        <w:jc w:val="both"/>
        <w:textAlignment w:val="baseline"/>
        <w:rPr>
          <w:rFonts w:ascii="Cambria" w:eastAsia="Cambria" w:hAnsi="Cambria"/>
          <w:color w:val="000000"/>
        </w:rPr>
      </w:pPr>
      <w:r>
        <w:rPr>
          <w:rFonts w:ascii="Cambria" w:hAnsi="Cambria"/>
          <w:color w:val="000000"/>
        </w:rPr>
        <w:t>Im Sinne der Vereinbarung sind Teilnehmer aktive Kunden, die gemeinsam handeln und an der Aktivität zur gemeinsamen Nutzung von Energie entweder als Verbraucher von gemeinsam genutzter Energie oder gegebenenfalls als Bereitsteller der Aktivität zur gemeinsamen Nutzung von Strom oder in beiden Funktionen beteiligt sind.</w:t>
      </w:r>
    </w:p>
    <w:p w14:paraId="74800FC3" w14:textId="336C08C5" w:rsidR="003144BA" w:rsidRDefault="00767324" w:rsidP="00D752BB">
      <w:pPr>
        <w:spacing w:before="261" w:line="293" w:lineRule="exact"/>
        <w:ind w:left="1276" w:right="144" w:hanging="709"/>
        <w:jc w:val="both"/>
        <w:textAlignment w:val="baseline"/>
        <w:rPr>
          <w:rFonts w:ascii="Arial" w:eastAsia="Arial" w:hAnsi="Arial"/>
          <w:b/>
          <w:i/>
          <w:color w:val="000000"/>
        </w:rPr>
      </w:pPr>
      <w:r>
        <w:rPr>
          <w:rFonts w:ascii="Arial" w:hAnsi="Arial"/>
          <w:b/>
          <w:i/>
          <w:color w:val="000000"/>
        </w:rPr>
        <w:t>6.1.2 Pflicht zur Information des Netzbetreibers</w:t>
      </w:r>
    </w:p>
    <w:p w14:paraId="39A15C44" w14:textId="5A862D70" w:rsidR="004D151B" w:rsidRPr="00DE18DA" w:rsidRDefault="003144BA" w:rsidP="00DE18DA">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benannte Vertreter meldet dem Netzbetreiber jede Änderung im Zusammenhang mit der gemeinsamen Nutzung, insbesondere den Abgang eines Teilnehmers, den Zugang eines neuen Teilnehmers, die Einstellung der Aktivität zur gemeinsamen Nutzung von Energie, Änderungen an den für die gemeinsame Nutzung genutzten Erzeugungsanlagen etc. über jedes Kommunikationsmittel, das gemäß dem in Artikel 8 des Erlasses der Wallonischen Regierung vom 17. März 2023 über Energiegemeinschaften und die gemeinsame Nutzung von Energie genannten Verfahren beweiskräftig ist. </w:t>
      </w:r>
    </w:p>
    <w:p w14:paraId="2338F70C" w14:textId="2D9E679A" w:rsidR="003144BA" w:rsidRPr="00DE18DA" w:rsidRDefault="00365E8B" w:rsidP="00DE18DA">
      <w:pPr>
        <w:spacing w:before="278" w:line="357" w:lineRule="exact"/>
        <w:ind w:left="216"/>
        <w:jc w:val="both"/>
        <w:textAlignment w:val="baseline"/>
        <w:rPr>
          <w:rFonts w:ascii="Cambria" w:eastAsia="Cambria" w:hAnsi="Cambria"/>
          <w:color w:val="000000"/>
        </w:rPr>
      </w:pPr>
      <w:r>
        <w:rPr>
          <w:rFonts w:ascii="Cambria" w:hAnsi="Cambria"/>
          <w:color w:val="000000"/>
        </w:rPr>
        <w:t>Diese Änderungen, die vor jeder Umstellung gemeldet werden, führen nach Überprüfung der Bedingungen durch den Netzbetreiber zu einer Anpassung der Bedingungen der Vereinbarung gemäß Artikel 9.3 der vorliegenden Vereinbarung und sind Gegenstand eines Nachtrags.</w:t>
      </w:r>
    </w:p>
    <w:p w14:paraId="74AF03F5" w14:textId="43B67997" w:rsidR="00F95F15" w:rsidRDefault="00767324" w:rsidP="00D752BB">
      <w:pPr>
        <w:spacing w:before="261" w:line="293" w:lineRule="exact"/>
        <w:ind w:left="1276" w:right="144" w:hanging="709"/>
        <w:jc w:val="both"/>
        <w:textAlignment w:val="baseline"/>
        <w:rPr>
          <w:rFonts w:ascii="Arial" w:eastAsia="Arial" w:hAnsi="Arial"/>
          <w:b/>
          <w:i/>
          <w:color w:val="000000"/>
        </w:rPr>
      </w:pPr>
      <w:r>
        <w:rPr>
          <w:rFonts w:ascii="Arial" w:hAnsi="Arial"/>
          <w:b/>
          <w:i/>
          <w:color w:val="000000"/>
        </w:rPr>
        <w:t>6.1.3 Information der Teilnehmer zur Erfassung der Lastkurven</w:t>
      </w:r>
    </w:p>
    <w:p w14:paraId="41FB746C" w14:textId="47ADC116" w:rsidR="00F2784F" w:rsidRPr="00B0227B" w:rsidRDefault="00F2784F" w:rsidP="00DE18DA">
      <w:pPr>
        <w:spacing w:before="278" w:line="357" w:lineRule="exact"/>
        <w:ind w:left="216"/>
        <w:jc w:val="both"/>
        <w:textAlignment w:val="baseline"/>
        <w:rPr>
          <w:rFonts w:ascii="Cambria" w:eastAsia="Cambria" w:hAnsi="Cambria"/>
          <w:color w:val="000000"/>
        </w:rPr>
      </w:pPr>
      <w:r>
        <w:rPr>
          <w:rFonts w:ascii="Cambria" w:hAnsi="Cambria"/>
          <w:color w:val="000000"/>
        </w:rPr>
        <w:t xml:space="preserve">Jede Teilnahme erfordert die Erfassung und Verwendung der Lastkurven bezüglich der aktiven Teilnehmer durch den Netzbetreiber, um eine korrekte Funktion der gemeinsamen Nutzung von Energie zu ermöglichen. </w:t>
      </w:r>
    </w:p>
    <w:p w14:paraId="66AE1DA3" w14:textId="35376AB2" w:rsidR="00F2784F" w:rsidRPr="00B0227B" w:rsidRDefault="00F2784F" w:rsidP="00DE18DA">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Sammlung und Verarbeitung personenbezogener Daten unterliegt den Gesetzen zur Privatsphäre (Verordnung (EU) 2016/679 des Europäischen Parlaments und des Rates vom 27. April 2016 zum Schutz natürlicher Personen bei der Verarbeitung personenbezogener Daten und zum freien Datenverkehr) sowie dem Gesetz vom 30. Juli 2018 zum Schutz natürlicher Personen bei der Verarbeitung personenbezogener Daten („Rahmengesetz“). </w:t>
      </w:r>
    </w:p>
    <w:p w14:paraId="6712526B" w14:textId="433608D7" w:rsidR="00F2784F" w:rsidRPr="00B0227B" w:rsidRDefault="00F870C6" w:rsidP="00DE18DA">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Der Netzbetreiber ist dazu verpflichtet, den Vertreter vorab, transparent und unmissverständlich über die Häufigkeit und die Zwecke der Erfassung der Lastkurven der an der gemeinsamen Nutzung von Energie beteiligten Teilnehmer sowie über die Folgen der Verarbeitung der Daten aus ihren Smart Metern zu informieren. Der Vertreter wiederum leitet diese Informationen an die Teilnehmer der Aktivität zur gemeinsamen Nutzung von Energie weiter. Hierbei ist jeder in der Wahl des Informationskanals frei.</w:t>
      </w:r>
    </w:p>
    <w:p w14:paraId="6A5C56B0" w14:textId="3AEB64E6" w:rsidR="00F95F15" w:rsidRDefault="00767324" w:rsidP="00D752BB">
      <w:pPr>
        <w:spacing w:before="261" w:line="293" w:lineRule="exact"/>
        <w:ind w:left="1276" w:right="144" w:hanging="709"/>
        <w:jc w:val="both"/>
        <w:textAlignment w:val="baseline"/>
        <w:rPr>
          <w:rFonts w:ascii="Arial" w:eastAsia="Arial" w:hAnsi="Arial"/>
          <w:b/>
          <w:i/>
          <w:color w:val="000000"/>
        </w:rPr>
      </w:pPr>
      <w:r>
        <w:rPr>
          <w:rFonts w:ascii="Arial" w:hAnsi="Arial"/>
          <w:b/>
          <w:i/>
          <w:color w:val="000000"/>
        </w:rPr>
        <w:t>6.1.4 Reklamationen oder Beschwerden eines Teilnehmers</w:t>
      </w:r>
    </w:p>
    <w:p w14:paraId="73769C57" w14:textId="163EC6DB" w:rsidR="00F95F15" w:rsidRDefault="009F2B22" w:rsidP="00DE18DA">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übermittelt im Rahmen der Durchführung der Vereinbarung dem Netzbetreiber jegliche Reklamation eines Teilnehmers, die die Verantwortung des Netzbetreibers betrifft. Diese Reklamation muss innerhalb einer Frist von fünf Arbeitstagen ab Erhalt durch den benannten Vertreter übermittelt werden.</w:t>
      </w:r>
    </w:p>
    <w:p w14:paraId="28589FDB" w14:textId="1C2AEFDE" w:rsidR="00F95F15" w:rsidRDefault="00F95F15" w:rsidP="00DE18DA">
      <w:pPr>
        <w:spacing w:before="278" w:line="357" w:lineRule="exact"/>
        <w:ind w:left="216"/>
        <w:jc w:val="both"/>
        <w:textAlignment w:val="baseline"/>
        <w:rPr>
          <w:rFonts w:ascii="Cambria" w:eastAsia="Cambria" w:hAnsi="Cambria"/>
          <w:color w:val="000000"/>
        </w:rPr>
      </w:pPr>
      <w:r>
        <w:rPr>
          <w:rFonts w:ascii="Cambria" w:hAnsi="Cambria"/>
          <w:color w:val="000000"/>
        </w:rPr>
        <w:t>Jede Reklamation eines Teilnehmers bezüglich der Elemente, die für jeden EAN-Code vom benannten Vertreter in Durchführung des Übereinkommens festgelegt wurden, unterliegt der alleinigen Verantwortung des benannten Vertreters.</w:t>
      </w:r>
    </w:p>
    <w:p w14:paraId="32FC642A" w14:textId="13BEEBBA" w:rsidR="00F95F15" w:rsidRDefault="009F2B22" w:rsidP="00DE18DA">
      <w:pPr>
        <w:spacing w:before="278" w:line="357" w:lineRule="exact"/>
        <w:ind w:left="216"/>
        <w:jc w:val="both"/>
        <w:textAlignment w:val="baseline"/>
        <w:rPr>
          <w:rFonts w:ascii="Cambria" w:eastAsia="Cambria" w:hAnsi="Cambria"/>
          <w:color w:val="000000"/>
        </w:rPr>
      </w:pPr>
      <w:r>
        <w:rPr>
          <w:rFonts w:ascii="Cambria" w:hAnsi="Cambria"/>
          <w:color w:val="000000"/>
        </w:rPr>
        <w:t>Der Netzbetreiber verpflichtet sich, dem benannten Vertreter spätestens innerhalb von 30 Kalendertagen nach Eingang der Reklamation zu antworten, zusammen mit allen für die Bearbeitung durch den Netzbetreiber erforderlichen Unterlagen.</w:t>
      </w:r>
    </w:p>
    <w:p w14:paraId="7520BE07" w14:textId="65623E74" w:rsidR="00670303" w:rsidRDefault="00CB0155" w:rsidP="00670303">
      <w:pPr>
        <w:spacing w:before="342" w:line="276" w:lineRule="exact"/>
        <w:textAlignment w:val="baseline"/>
        <w:rPr>
          <w:rFonts w:ascii="Arial" w:eastAsia="Arial" w:hAnsi="Arial"/>
          <w:b/>
          <w:color w:val="000000"/>
          <w:sz w:val="24"/>
        </w:rPr>
      </w:pPr>
      <w:r>
        <w:rPr>
          <w:rFonts w:ascii="Arial" w:hAnsi="Arial"/>
          <w:b/>
          <w:color w:val="000000"/>
          <w:sz w:val="24"/>
        </w:rPr>
        <w:t xml:space="preserve">6.2. Pflichten des Netzbetreibers </w:t>
      </w:r>
    </w:p>
    <w:p w14:paraId="0426FC58" w14:textId="1F5B2DA1" w:rsidR="00670303" w:rsidRDefault="00E5341F" w:rsidP="00D752BB">
      <w:pPr>
        <w:spacing w:before="261" w:line="293" w:lineRule="exact"/>
        <w:ind w:left="1276" w:right="144" w:hanging="709"/>
        <w:jc w:val="both"/>
        <w:textAlignment w:val="baseline"/>
        <w:rPr>
          <w:rFonts w:ascii="Arial" w:eastAsia="Arial" w:hAnsi="Arial"/>
          <w:b/>
          <w:i/>
          <w:color w:val="000000"/>
        </w:rPr>
      </w:pPr>
      <w:r>
        <w:rPr>
          <w:rFonts w:ascii="Arial" w:hAnsi="Arial"/>
          <w:b/>
          <w:i/>
          <w:color w:val="000000"/>
        </w:rPr>
        <w:t>6.2.1 Definition der Zählerdaten</w:t>
      </w:r>
    </w:p>
    <w:p w14:paraId="3C4A7625" w14:textId="6BEBEC6D" w:rsidR="00A02537" w:rsidRDefault="00670303" w:rsidP="00DE18DA">
      <w:pPr>
        <w:spacing w:before="278" w:line="357" w:lineRule="exact"/>
        <w:ind w:left="216"/>
        <w:jc w:val="both"/>
        <w:textAlignment w:val="baseline"/>
        <w:rPr>
          <w:rFonts w:ascii="Cambria" w:eastAsia="Cambria" w:hAnsi="Cambria"/>
          <w:color w:val="000000"/>
        </w:rPr>
      </w:pPr>
      <w:r>
        <w:rPr>
          <w:rFonts w:ascii="Cambria" w:hAnsi="Cambria"/>
          <w:color w:val="000000"/>
        </w:rPr>
        <w:t>Der Netzbetreiber setzt alle erforderlichen Mittel ein, um monatlich die folgenden geschätzten oder abgelesenen Daten zu berechnen, die für die Aktivität zur gemeinsamen Nutzung von Energie erforderlich sind:</w:t>
      </w:r>
    </w:p>
    <w:p w14:paraId="00F3F3D6" w14:textId="77777777" w:rsidR="008F7F21" w:rsidRPr="00BC5B6D" w:rsidRDefault="008F7F21" w:rsidP="008F7F21">
      <w:pPr>
        <w:pStyle w:val="Listenabsatz"/>
        <w:rPr>
          <w:rFonts w:ascii="Cambria" w:hAnsi="Cambria"/>
          <w:lang w:val="fr-FR"/>
        </w:rPr>
      </w:pPr>
    </w:p>
    <w:p w14:paraId="51B688CC" w14:textId="77777777" w:rsidR="008F7F21" w:rsidRDefault="008F7F21" w:rsidP="008F7F21">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Einspeisung (I): Für einen VNN die erzeugte Netto-Strommenge, die direkt in das Netz eingespeist wird, da sie nicht in der Viertelstunde selbst verbraucht wurde; </w:t>
      </w:r>
    </w:p>
    <w:p w14:paraId="62AACE07" w14:textId="77777777" w:rsidR="008F7F21" w:rsidRPr="008F7F21" w:rsidRDefault="008F7F21" w:rsidP="008F7F21">
      <w:pPr>
        <w:pStyle w:val="Listenabsatz"/>
        <w:rPr>
          <w:rFonts w:ascii="Cambria" w:hAnsi="Cambria"/>
          <w:lang w:val="fr-BE"/>
        </w:rPr>
      </w:pPr>
    </w:p>
    <w:p w14:paraId="2C46C7EF" w14:textId="77777777" w:rsidR="008F7F21" w:rsidRDefault="008F7F21" w:rsidP="008F7F21">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Entnahme (PI): Für einen VNN der Anteil des Verbrauchs, der nicht durch die lokale Erzeugung abgedeckt ist, und der aus dem Netz kommt. Für einen Teilnehmer an einer Aktivität zur gemeinsamen Nutzung von Energie umfasst die Entnahme einerseits die verbrauchte gemeinsam genutzte Menge und andererseits den Fremdverbrauch (Pl = VPC + AL); </w:t>
      </w:r>
    </w:p>
    <w:p w14:paraId="3270DAB1" w14:textId="77777777" w:rsidR="008F7F21" w:rsidRPr="008F7F21" w:rsidRDefault="008F7F21" w:rsidP="008F7F21">
      <w:pPr>
        <w:pStyle w:val="Listenabsatz"/>
        <w:rPr>
          <w:rFonts w:ascii="Cambria" w:hAnsi="Cambria"/>
          <w:lang w:val="fr-BE"/>
        </w:rPr>
      </w:pPr>
    </w:p>
    <w:p w14:paraId="4FCF72E5" w14:textId="77777777" w:rsidR="008F7F21" w:rsidRDefault="008F7F21" w:rsidP="008F7F21">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Gemeinsam genutzte Menge (VP): Die Summe der viertelstündlich eingespeisten Mengen, die den Teilnehmern einer Aktivität zur gemeinsamen Nutzung von Energie zur Verfügung gestellt werden (VP = ∑ I); </w:t>
      </w:r>
    </w:p>
    <w:p w14:paraId="6477A344" w14:textId="77777777" w:rsidR="008F7F21" w:rsidRPr="008F7F21" w:rsidRDefault="008F7F21" w:rsidP="008F7F21">
      <w:pPr>
        <w:pStyle w:val="Listenabsatz"/>
        <w:rPr>
          <w:rFonts w:ascii="Cambria" w:hAnsi="Cambria"/>
          <w:lang w:val="fr-BE"/>
        </w:rPr>
      </w:pPr>
    </w:p>
    <w:p w14:paraId="7E1BA0B5" w14:textId="031B9C77" w:rsidR="008F7F21" w:rsidRDefault="008F7F21" w:rsidP="008F7F21">
      <w:pPr>
        <w:pStyle w:val="Listenabsatz"/>
        <w:numPr>
          <w:ilvl w:val="0"/>
          <w:numId w:val="2"/>
        </w:numPr>
        <w:spacing w:before="100" w:line="297" w:lineRule="exact"/>
        <w:ind w:right="144"/>
        <w:jc w:val="both"/>
        <w:textAlignment w:val="baseline"/>
        <w:rPr>
          <w:rFonts w:ascii="Cambria" w:hAnsi="Cambria"/>
        </w:rPr>
      </w:pPr>
      <w:r>
        <w:rPr>
          <w:rFonts w:ascii="Cambria" w:hAnsi="Cambria"/>
        </w:rPr>
        <w:lastRenderedPageBreak/>
        <w:t xml:space="preserve">Verbrauchte gemeinsam genutzte Menge (VPC): Für einen VNN der Anteil des Verbrauchs, der vom gemeinsam genutzten Strom im Rahmen einer Aktivität zur gemeinsamen Nutzung von Energie abgedeckt wird; </w:t>
      </w:r>
    </w:p>
    <w:p w14:paraId="04F12BE1" w14:textId="77777777" w:rsidR="008F7F21" w:rsidRPr="008F7F21" w:rsidRDefault="008F7F21" w:rsidP="008F7F21">
      <w:pPr>
        <w:pStyle w:val="Listenabsatz"/>
        <w:rPr>
          <w:rFonts w:ascii="Cambria" w:hAnsi="Cambria"/>
          <w:lang w:val="fr-BE"/>
        </w:rPr>
      </w:pPr>
    </w:p>
    <w:p w14:paraId="4928B71C" w14:textId="77777777" w:rsidR="008F7F21" w:rsidRDefault="008F7F21" w:rsidP="008F7F21">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Überschuss (E): Für einen VNN die gemeinsam genutzte Menge, die ihm zugewiesen wurde, die er aber nicht verbraucht hat; </w:t>
      </w:r>
    </w:p>
    <w:p w14:paraId="09E9FD67" w14:textId="77777777" w:rsidR="008F7F21" w:rsidRDefault="008F7F21" w:rsidP="008F7F21">
      <w:pPr>
        <w:pStyle w:val="Listenabsatz"/>
        <w:numPr>
          <w:ilvl w:val="0"/>
          <w:numId w:val="2"/>
        </w:numPr>
        <w:spacing w:before="100" w:line="297" w:lineRule="exact"/>
        <w:ind w:right="144"/>
        <w:jc w:val="both"/>
        <w:textAlignment w:val="baseline"/>
        <w:rPr>
          <w:rFonts w:ascii="Cambria" w:hAnsi="Cambria"/>
        </w:rPr>
      </w:pPr>
      <w:r>
        <w:rPr>
          <w:rFonts w:ascii="Cambria" w:hAnsi="Cambria"/>
        </w:rPr>
        <w:t>Überkapazität (S): Anteil der gemeinsam genutzten Menge, der im Rahmen der Aktivität zur gemeinsamen Nutzung von Energie nicht verbraucht wurde. Es handelt sich um die Differenz zwischen der gemeinsam genutzten Menge und den verbrauchten gemeinsam genutzten Mengen (S = VP – ∑ VPC). Es handelt sich zudem um die Summe der Überschüsse, die sich aus der gegebenenfalls wiederholten Aufteilung der gemeinsam genutzten Menge ergeben (S = ∑ E).</w:t>
      </w:r>
    </w:p>
    <w:p w14:paraId="70AB0E4A" w14:textId="77777777" w:rsidR="008F7F21" w:rsidRPr="008F7F21" w:rsidRDefault="008F7F21" w:rsidP="008F7F21">
      <w:pPr>
        <w:pStyle w:val="Listenabsatz"/>
        <w:rPr>
          <w:rFonts w:ascii="Cambria" w:hAnsi="Cambria"/>
          <w:lang w:val="fr-BE"/>
        </w:rPr>
      </w:pPr>
    </w:p>
    <w:p w14:paraId="736242EE" w14:textId="77777777" w:rsidR="008F7F21" w:rsidRDefault="008F7F21" w:rsidP="008F7F21">
      <w:pPr>
        <w:pStyle w:val="Listenabsatz"/>
        <w:numPr>
          <w:ilvl w:val="0"/>
          <w:numId w:val="2"/>
        </w:numPr>
        <w:spacing w:before="100" w:line="297" w:lineRule="exact"/>
        <w:ind w:right="144"/>
        <w:jc w:val="both"/>
        <w:textAlignment w:val="baseline"/>
        <w:rPr>
          <w:rFonts w:ascii="Cambria" w:hAnsi="Cambria"/>
        </w:rPr>
      </w:pPr>
      <w:r>
        <w:rPr>
          <w:rFonts w:ascii="Cambria" w:hAnsi="Cambria"/>
        </w:rPr>
        <w:t xml:space="preserve">Fremdverbrauch (AL) oder Restmenge oder auch zusätzliche Menge: Für einen VNN der Anteil des Verbrauchs, der nicht durch den gemeinsam genutzten Strom abgedeckt ist. Diese Menge wird durch Abzug der verbrauchten gemeinsam genutzten Menge von der Entnahme ermittelt und vom Versorger des Teilnehmers in Rechnung gestellt (AL = Pl – VPC). </w:t>
      </w:r>
    </w:p>
    <w:p w14:paraId="69387395" w14:textId="11D5C004" w:rsidR="00D21DB0" w:rsidRPr="0075784A" w:rsidRDefault="00AB73C5" w:rsidP="00D752BB">
      <w:pPr>
        <w:spacing w:before="261" w:line="293" w:lineRule="exact"/>
        <w:ind w:left="1276" w:right="144" w:hanging="709"/>
        <w:jc w:val="both"/>
        <w:textAlignment w:val="baseline"/>
        <w:rPr>
          <w:rFonts w:ascii="Arial" w:eastAsia="Arial" w:hAnsi="Arial"/>
          <w:b/>
          <w:i/>
          <w:color w:val="000000"/>
        </w:rPr>
      </w:pPr>
      <w:r>
        <w:rPr>
          <w:rFonts w:ascii="Arial" w:hAnsi="Arial"/>
          <w:b/>
          <w:i/>
          <w:color w:val="000000"/>
        </w:rPr>
        <w:t>6.2.2 Übermittlung/Bereitstellung der Zählerdaten</w:t>
      </w:r>
    </w:p>
    <w:p w14:paraId="5C549616" w14:textId="3640E92C" w:rsidR="00670303" w:rsidRDefault="004D41DB" w:rsidP="00BC5B6D">
      <w:pPr>
        <w:spacing w:before="278" w:line="357" w:lineRule="exact"/>
        <w:ind w:left="216"/>
        <w:jc w:val="both"/>
        <w:textAlignment w:val="baseline"/>
        <w:rPr>
          <w:rFonts w:ascii="Cambria" w:eastAsia="Cambria" w:hAnsi="Cambria"/>
          <w:color w:val="000000"/>
        </w:rPr>
      </w:pPr>
      <w:r>
        <w:rPr>
          <w:rFonts w:ascii="Cambria" w:hAnsi="Cambria"/>
          <w:color w:val="000000"/>
        </w:rPr>
        <w:t>Der Netzbetreiber setzt alle erforderlichen Mittel ein, um dem benannten Vertreter monatlich und spätestens bis zum zwölften Arbeitstag des folgenden Monats die in Artikel 6.2.1 der vorliegenden Vereinbarung angeführten Daten zur Verfügung zu stellen. Nicht validierte Daten können wöchentlich übermittelt werden. Folgende Informationen werden an den benannten Vertreter gesendet:</w:t>
      </w:r>
    </w:p>
    <w:p w14:paraId="64F619DB" w14:textId="42F64F65" w:rsidR="0051007C" w:rsidRDefault="0051007C" w:rsidP="00D752B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Entnahme jedes Teilnehmers;</w:t>
      </w:r>
    </w:p>
    <w:p w14:paraId="504AE603" w14:textId="4B0AD3B5" w:rsidR="0051007C" w:rsidRDefault="0051007C" w:rsidP="00D752B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Einspeisung des/der Erzeuger(s);</w:t>
      </w:r>
    </w:p>
    <w:p w14:paraId="6466D9CE" w14:textId="77777777" w:rsidR="0051007C" w:rsidRDefault="0051007C" w:rsidP="00D752B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angewandte Art der Verteilung;</w:t>
      </w:r>
    </w:p>
    <w:p w14:paraId="58BE9012" w14:textId="793CD6D3" w:rsidR="0051007C" w:rsidRDefault="0051007C" w:rsidP="00D752B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von jedem Teilnehmer verbrauchte gemeinsam genutzte Menge;</w:t>
      </w:r>
    </w:p>
    <w:p w14:paraId="21A9F362" w14:textId="606E6DE5" w:rsidR="0051007C" w:rsidRDefault="0051007C" w:rsidP="00D752B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von allen Teilnehmern gemeinsam genutzte Menge;</w:t>
      </w:r>
    </w:p>
    <w:p w14:paraId="0FEABF36" w14:textId="077ACFB9" w:rsidR="0051007C" w:rsidRDefault="0051007C" w:rsidP="00D752B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etwaige Überkapazität;</w:t>
      </w:r>
    </w:p>
    <w:p w14:paraId="3BB62E78" w14:textId="5862FABA" w:rsidR="0051007C" w:rsidRDefault="000E7714" w:rsidP="00D752BB">
      <w:pPr>
        <w:numPr>
          <w:ilvl w:val="0"/>
          <w:numId w:val="1"/>
        </w:numPr>
        <w:tabs>
          <w:tab w:val="clear" w:pos="360"/>
          <w:tab w:val="left" w:pos="792"/>
        </w:tabs>
        <w:spacing w:before="120" w:line="246" w:lineRule="exact"/>
        <w:ind w:left="431"/>
        <w:textAlignment w:val="baseline"/>
        <w:rPr>
          <w:rFonts w:ascii="Cambria" w:eastAsia="Cambria" w:hAnsi="Cambria"/>
          <w:color w:val="000000"/>
        </w:rPr>
      </w:pPr>
      <w:r>
        <w:rPr>
          <w:rFonts w:ascii="Cambria" w:hAnsi="Cambria"/>
          <w:color w:val="000000"/>
        </w:rPr>
        <w:t>Fremdverbrauch jedes Teilnehmers;</w:t>
      </w:r>
    </w:p>
    <w:p w14:paraId="4D1A7767" w14:textId="36B1780A" w:rsidR="00F76ECD" w:rsidRPr="00F908D3" w:rsidRDefault="003158FE" w:rsidP="00F908D3">
      <w:pPr>
        <w:spacing w:before="278" w:line="357" w:lineRule="exact"/>
        <w:ind w:left="216"/>
        <w:jc w:val="both"/>
        <w:textAlignment w:val="baseline"/>
        <w:rPr>
          <w:rFonts w:ascii="Cambria" w:eastAsia="Cambria" w:hAnsi="Cambria"/>
          <w:color w:val="000000"/>
        </w:rPr>
      </w:pPr>
      <w:r>
        <w:rPr>
          <w:rFonts w:ascii="Cambria" w:hAnsi="Cambria"/>
          <w:color w:val="000000"/>
        </w:rPr>
        <w:t>Die Bereitstellung der in Artikel 6.2.1 und 6.2.2 dieser Vereinbarung angeführten Daten erfolgt auf Basis automatischer oder manueller Übertragungsprozesse, die vom Netzbetreiber vordefiniert wurden.</w:t>
      </w:r>
    </w:p>
    <w:p w14:paraId="5C257E52" w14:textId="4FD89C7C" w:rsidR="000F7FBF" w:rsidRDefault="008E4974" w:rsidP="00D752BB">
      <w:pPr>
        <w:spacing w:before="291" w:line="371" w:lineRule="exact"/>
        <w:ind w:right="72"/>
        <w:textAlignment w:val="baseline"/>
        <w:rPr>
          <w:rFonts w:ascii="Calibri Light" w:eastAsia="Calibri Light" w:hAnsi="Calibri Light"/>
          <w:color w:val="000000"/>
          <w:spacing w:val="-3"/>
          <w:sz w:val="33"/>
        </w:rPr>
      </w:pPr>
      <w:r>
        <w:rPr>
          <w:rFonts w:ascii="Calibri Light" w:hAnsi="Calibri Light"/>
          <w:color w:val="000000"/>
          <w:sz w:val="33"/>
        </w:rPr>
        <w:t>7. Tarif</w:t>
      </w:r>
      <w:r w:rsidR="00415EEE">
        <w:rPr>
          <w:rStyle w:val="Funotenzeichen"/>
          <w:rFonts w:ascii="Calibri Light" w:eastAsia="Calibri Light" w:hAnsi="Calibri Light"/>
          <w:color w:val="000000"/>
          <w:spacing w:val="-3"/>
          <w:sz w:val="33"/>
          <w:lang w:val="fr-FR"/>
        </w:rPr>
        <w:footnoteReference w:id="1"/>
      </w:r>
    </w:p>
    <w:p w14:paraId="41B51322" w14:textId="475AD450" w:rsidR="00C1746E" w:rsidRDefault="00C1746E" w:rsidP="00C1746E">
      <w:pPr>
        <w:spacing w:before="278" w:line="357" w:lineRule="exact"/>
        <w:ind w:left="216"/>
        <w:jc w:val="both"/>
        <w:textAlignment w:val="baseline"/>
        <w:rPr>
          <w:rFonts w:ascii="Cambria" w:eastAsia="Cambria" w:hAnsi="Cambria"/>
          <w:color w:val="000000"/>
        </w:rPr>
      </w:pPr>
      <w:bookmarkStart w:id="2" w:name="_Hlk145578006"/>
      <w:r>
        <w:t xml:space="preserve">Die Nutzung des lokalen Verteil- oder Übertragungsnetzes im Rahmen der gemeinsamen Nutzung wird bei der Berechnung der Netzkosten, Steuern, Zuschläge und sonstigen regulierten Kosten </w:t>
      </w:r>
      <w:r>
        <w:lastRenderedPageBreak/>
        <w:t xml:space="preserve">berücksichtigt, die gemäß dem Dekret </w:t>
      </w:r>
      <w:bookmarkStart w:id="3" w:name="_Hlk145577899"/>
      <w:r>
        <w:t>des Wallonischen Parlaments vom 12. April 2001 bezüglich der Organisation des regionalen Elektrizitätsmarktes</w:t>
      </w:r>
      <w:bookmarkEnd w:id="3"/>
      <w:r>
        <w:t xml:space="preserve"> und dem Dekret des Wallonischen Parlaments vom 19. Januar 2017 über die für die Verteilnetzbetreiber für Gas und Strom geltende Tarifmethodik gelten und vom Inhaber des Zugangs/Versorger in Rechnung gestellt werden.</w:t>
      </w:r>
    </w:p>
    <w:bookmarkEnd w:id="2"/>
    <w:p w14:paraId="25F676CB" w14:textId="7A8687B3" w:rsidR="00AC0229" w:rsidRDefault="00C1746E" w:rsidP="00F76ECD">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Berechnung der oben angeführten Kosten basiert auf der am Zugangspunkt jedes Teilnehmers gemessenen Strommenge, wobei in diesem Fall sowohl die gemeinsam genutzte Strommenge, die er in Anspruch nimmt, als auch die Reststrommenge, die vom Versorger geliefert wird, berücksichtigt werden. </w:t>
      </w:r>
    </w:p>
    <w:p w14:paraId="705D4B56" w14:textId="77777777" w:rsidR="00F76ECD" w:rsidRPr="00D752BB" w:rsidRDefault="00F76ECD" w:rsidP="00D752BB">
      <w:pPr>
        <w:spacing w:before="159" w:line="276" w:lineRule="exact"/>
        <w:ind w:left="72"/>
        <w:textAlignment w:val="baseline"/>
        <w:rPr>
          <w:rFonts w:ascii="Arial" w:eastAsia="Arial" w:hAnsi="Arial"/>
          <w:b/>
          <w:color w:val="000000"/>
          <w:sz w:val="24"/>
          <w:lang w:val="fr-FR"/>
        </w:rPr>
      </w:pPr>
    </w:p>
    <w:p w14:paraId="61F5F4AD" w14:textId="6BE75290" w:rsidR="00924FB3" w:rsidRPr="00D752BB" w:rsidRDefault="008E4974" w:rsidP="00D752BB">
      <w:pPr>
        <w:spacing w:before="291" w:line="371" w:lineRule="exact"/>
        <w:ind w:right="72"/>
        <w:textAlignment w:val="baseline"/>
        <w:rPr>
          <w:rFonts w:ascii="Calibri Light" w:eastAsia="Calibri Light" w:hAnsi="Calibri Light"/>
          <w:color w:val="000000"/>
          <w:spacing w:val="-3"/>
          <w:sz w:val="33"/>
        </w:rPr>
      </w:pPr>
      <w:r>
        <w:rPr>
          <w:rFonts w:ascii="Calibri Light" w:hAnsi="Calibri Light"/>
          <w:color w:val="000000"/>
          <w:sz w:val="33"/>
        </w:rPr>
        <w:t>8. Haftung</w:t>
      </w:r>
    </w:p>
    <w:p w14:paraId="33B8716E" w14:textId="6F772B99" w:rsidR="00924FB3" w:rsidRDefault="008E4974" w:rsidP="00924FB3">
      <w:pPr>
        <w:spacing w:before="160" w:line="274" w:lineRule="exact"/>
        <w:ind w:left="216"/>
        <w:jc w:val="both"/>
        <w:textAlignment w:val="baseline"/>
        <w:rPr>
          <w:rFonts w:ascii="Arial" w:eastAsia="Arial" w:hAnsi="Arial"/>
          <w:b/>
          <w:color w:val="000000"/>
          <w:sz w:val="24"/>
        </w:rPr>
      </w:pPr>
      <w:r>
        <w:rPr>
          <w:rFonts w:ascii="Arial" w:hAnsi="Arial"/>
          <w:b/>
          <w:color w:val="000000"/>
          <w:sz w:val="24"/>
        </w:rPr>
        <w:t>8.1 Haftungsregelung</w:t>
      </w:r>
    </w:p>
    <w:p w14:paraId="45E467F8" w14:textId="77777777" w:rsidR="00924FB3" w:rsidRDefault="00924FB3" w:rsidP="00F76ECD">
      <w:pPr>
        <w:spacing w:before="278" w:line="357" w:lineRule="exact"/>
        <w:ind w:left="216"/>
        <w:jc w:val="both"/>
        <w:textAlignment w:val="baseline"/>
        <w:rPr>
          <w:rFonts w:ascii="Cambria" w:eastAsia="Cambria" w:hAnsi="Cambria"/>
          <w:color w:val="000000"/>
        </w:rPr>
      </w:pPr>
      <w:r>
        <w:rPr>
          <w:rFonts w:ascii="Cambria" w:hAnsi="Cambria"/>
          <w:color w:val="000000"/>
        </w:rPr>
        <w:t>Jede Partei haftet gegenüber der anderen Partei für direkte und bestimmte Schäden, die der anderen Partei durch Nichterfüllung oder mangelhafte Erfüllung der ihr aus der Vereinbarung obliegenden Pflichten entstehen.</w:t>
      </w:r>
    </w:p>
    <w:p w14:paraId="09938D6A" w14:textId="498BE2F9" w:rsidR="00850A13" w:rsidRDefault="00924FB3" w:rsidP="00F76ECD">
      <w:pPr>
        <w:spacing w:before="278" w:line="357" w:lineRule="exact"/>
        <w:ind w:left="216"/>
        <w:jc w:val="both"/>
        <w:textAlignment w:val="baseline"/>
        <w:rPr>
          <w:rFonts w:ascii="Cambria" w:eastAsia="Cambria" w:hAnsi="Cambria"/>
          <w:color w:val="000000"/>
        </w:rPr>
      </w:pPr>
      <w:r>
        <w:rPr>
          <w:rFonts w:ascii="Cambria" w:hAnsi="Cambria"/>
          <w:color w:val="000000"/>
        </w:rPr>
        <w:t>Für jede zusätzliche Verpflichtung oder Verpflichtung, die von den in der Vereinbarung genannten Verpflichtungen abweicht, die der benannte Vertreter gegenüber den Teilnehmern oder einem Dritten dieser Vereinbarung eingegangen ist, kann der Netzbetreiber nicht verantwortlich gemacht werden und jede solche Verpflichtung bindet den benannten Vertreter gegenüber den Teilnehmern oder diesem Dritten.</w:t>
      </w:r>
    </w:p>
    <w:p w14:paraId="48BDD08B" w14:textId="77777777" w:rsidR="00F76ECD" w:rsidRPr="00D752BB" w:rsidRDefault="00F76ECD" w:rsidP="00D752BB">
      <w:pPr>
        <w:spacing w:before="159" w:line="276" w:lineRule="exact"/>
        <w:ind w:left="72"/>
        <w:textAlignment w:val="baseline"/>
        <w:rPr>
          <w:rFonts w:ascii="Arial" w:eastAsia="Arial" w:hAnsi="Arial"/>
          <w:b/>
          <w:color w:val="000000"/>
          <w:sz w:val="24"/>
          <w:lang w:val="fr-FR"/>
        </w:rPr>
      </w:pPr>
    </w:p>
    <w:p w14:paraId="44050349" w14:textId="3F6DFC13" w:rsidR="00924FB3" w:rsidRDefault="008E4974" w:rsidP="00924FB3">
      <w:pPr>
        <w:spacing w:before="332" w:line="274" w:lineRule="exact"/>
        <w:ind w:left="216"/>
        <w:jc w:val="both"/>
        <w:textAlignment w:val="baseline"/>
        <w:rPr>
          <w:rFonts w:ascii="Arial" w:eastAsia="Arial" w:hAnsi="Arial"/>
          <w:b/>
          <w:color w:val="000000"/>
          <w:sz w:val="24"/>
        </w:rPr>
      </w:pPr>
      <w:r>
        <w:rPr>
          <w:rFonts w:ascii="Arial" w:hAnsi="Arial"/>
          <w:b/>
          <w:color w:val="000000"/>
          <w:sz w:val="24"/>
        </w:rPr>
        <w:t>8.2 Höhere Gewalt und dringliche Situationen</w:t>
      </w:r>
    </w:p>
    <w:p w14:paraId="05CE6D8D" w14:textId="6C16D39F" w:rsidR="00A33FA9" w:rsidRPr="00456EB1" w:rsidRDefault="00924FB3" w:rsidP="00456EB1">
      <w:pPr>
        <w:spacing w:before="278" w:line="357" w:lineRule="exact"/>
        <w:ind w:left="216"/>
        <w:jc w:val="both"/>
        <w:textAlignment w:val="baseline"/>
        <w:rPr>
          <w:rFonts w:ascii="Cambria" w:eastAsia="Cambria" w:hAnsi="Cambria"/>
          <w:color w:val="000000"/>
        </w:rPr>
      </w:pPr>
      <w:r>
        <w:t xml:space="preserve">Die Parteien haften nicht und sind nicht zu Schadenersatz verpflichtet, wenn einer von ihnen durch die Nichterfüllung oder mangelhafte Erfüllung aller oder eines Teils ihrer vertraglichen Verpflichtungen ein Schaden entsteht, wenn diese Nichterfüllung oder mangelhafte Erfüllung auf das Eintreten eines Ereignisses höherer Gewalt oder einer dringlichen Situation im Sinne </w:t>
      </w:r>
      <w:bookmarkStart w:id="4" w:name="_Hlk140242373"/>
      <w:r>
        <w:t>von Kapitel VI des Erlasses der Wallonischen Regierung vom 27. Mai 2021 zur Genehmigung der technischen Regelung für die Verwaltung der Stromverteilnetze in der Wallonischen Region und den Zugang zu diesen</w:t>
      </w:r>
      <w:bookmarkEnd w:id="4"/>
      <w:r>
        <w:t xml:space="preserve"> oder von Kapitel II, Abschnitt 4 des Erlasses der Wallonischen Regierung vom 26. Januar 2012 bezüglich der Revision der technischen Regelung für den Betrieb des lokalen Stromübertragungsnetzes in der Wallonischen Region und den Zugang zu diesem Netz zurückzuführen ist.</w:t>
      </w:r>
    </w:p>
    <w:p w14:paraId="5CE5ED28" w14:textId="2004949A" w:rsidR="00A33FA9" w:rsidRPr="00456EB1" w:rsidRDefault="00A33FA9" w:rsidP="00456EB1">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Die vertraglichen Verpflichtungen der Parteien, deren Erfüllung damit unmöglich wurde, werden für die Dauer des Ereignisses höherer Gewalt oder der dringlichen Situation ausgesetzt.</w:t>
      </w:r>
    </w:p>
    <w:p w14:paraId="7BC7FCE8" w14:textId="262473DB" w:rsidR="00A33FA9" w:rsidRPr="00456EB1" w:rsidRDefault="00A33FA9" w:rsidP="00A33FA9">
      <w:pPr>
        <w:spacing w:before="278" w:line="357" w:lineRule="exact"/>
        <w:ind w:left="216"/>
        <w:jc w:val="both"/>
        <w:textAlignment w:val="baseline"/>
        <w:rPr>
          <w:rFonts w:ascii="Cambria" w:eastAsia="Cambria" w:hAnsi="Cambria"/>
          <w:color w:val="000000"/>
        </w:rPr>
      </w:pPr>
      <w:r>
        <w:rPr>
          <w:rFonts w:ascii="Cambria" w:hAnsi="Cambria"/>
          <w:color w:val="000000"/>
        </w:rPr>
        <w:t>Die Partei, die sich auf höhere Gewalt oder eine dringliche Situation berufen möchte, informiert die andere Partei unverzüglich per Einschreiben über die Art des geltend gemachten Ereignisses höherer Gewalt und dessen voraussichtliche Dauer.</w:t>
      </w:r>
    </w:p>
    <w:p w14:paraId="173FCD9C" w14:textId="0C978830" w:rsidR="008305C4" w:rsidRDefault="00A33FA9" w:rsidP="00456EB1">
      <w:pPr>
        <w:spacing w:before="278" w:line="357" w:lineRule="exact"/>
        <w:ind w:left="216"/>
        <w:jc w:val="both"/>
        <w:textAlignment w:val="baseline"/>
        <w:rPr>
          <w:rFonts w:ascii="Cambria" w:eastAsia="Cambria" w:hAnsi="Cambria"/>
          <w:color w:val="000000"/>
        </w:rPr>
      </w:pPr>
      <w:r>
        <w:rPr>
          <w:rFonts w:ascii="Cambria" w:hAnsi="Cambria"/>
          <w:color w:val="000000"/>
        </w:rPr>
        <w:t>Die Partei, die sich auf höhere Gewalt oder eine dringliche Situation beruft, ist verpflichtet, alle ihr zur Verfügung stehenden Mittel einzusetzen, um deren Auswirkungen und Dauer zu begrenzen.</w:t>
      </w:r>
    </w:p>
    <w:p w14:paraId="2AF7726F" w14:textId="77777777" w:rsidR="00FD5B51" w:rsidRPr="001B5A71" w:rsidRDefault="00FD5B51" w:rsidP="00456EB1">
      <w:pPr>
        <w:spacing w:before="278" w:line="357" w:lineRule="exact"/>
        <w:ind w:left="216"/>
        <w:jc w:val="both"/>
        <w:textAlignment w:val="baseline"/>
        <w:rPr>
          <w:rFonts w:ascii="Cambria" w:eastAsia="Cambria" w:hAnsi="Cambria"/>
          <w:color w:val="000000"/>
          <w:sz w:val="6"/>
          <w:szCs w:val="6"/>
          <w:lang w:val="fr-FR"/>
        </w:rPr>
      </w:pPr>
    </w:p>
    <w:p w14:paraId="007A0007" w14:textId="46BEA160" w:rsidR="00426871" w:rsidRPr="00D752BB" w:rsidRDefault="008E4974" w:rsidP="00D752BB">
      <w:pPr>
        <w:spacing w:before="291" w:line="371" w:lineRule="exact"/>
        <w:ind w:right="72"/>
        <w:textAlignment w:val="baseline"/>
        <w:rPr>
          <w:rFonts w:ascii="Calibri Light" w:eastAsia="Calibri Light" w:hAnsi="Calibri Light"/>
          <w:color w:val="000000"/>
          <w:spacing w:val="-3"/>
          <w:sz w:val="33"/>
        </w:rPr>
      </w:pPr>
      <w:r>
        <w:rPr>
          <w:rFonts w:ascii="Calibri Light" w:hAnsi="Calibri Light"/>
          <w:color w:val="000000"/>
          <w:sz w:val="33"/>
        </w:rPr>
        <w:t>9. Durchführung der Vereinbarung</w:t>
      </w:r>
    </w:p>
    <w:p w14:paraId="384DE578" w14:textId="1507B97A" w:rsidR="005A759C" w:rsidRDefault="008E4974" w:rsidP="00D752BB">
      <w:pPr>
        <w:spacing w:before="332" w:line="274" w:lineRule="exact"/>
        <w:ind w:left="216"/>
        <w:jc w:val="both"/>
        <w:textAlignment w:val="baseline"/>
        <w:rPr>
          <w:rFonts w:ascii="Arial" w:eastAsia="Arial" w:hAnsi="Arial"/>
          <w:b/>
          <w:color w:val="000000"/>
          <w:sz w:val="24"/>
        </w:rPr>
      </w:pPr>
      <w:r>
        <w:rPr>
          <w:rFonts w:ascii="Arial" w:hAnsi="Arial"/>
          <w:b/>
          <w:color w:val="000000"/>
          <w:sz w:val="24"/>
        </w:rPr>
        <w:t>9.1 Inkrafttreten und Laufzeit der Vereinbarung</w:t>
      </w:r>
    </w:p>
    <w:p w14:paraId="1F690490" w14:textId="77777777" w:rsidR="005A759C" w:rsidRPr="008E4974" w:rsidRDefault="005A759C" w:rsidP="008E4974">
      <w:pPr>
        <w:spacing w:before="278" w:line="357" w:lineRule="exact"/>
        <w:ind w:left="216"/>
        <w:jc w:val="both"/>
        <w:textAlignment w:val="baseline"/>
        <w:rPr>
          <w:rFonts w:ascii="Cambria" w:eastAsia="Calibri Light" w:hAnsi="Cambria"/>
          <w:color w:val="000000"/>
          <w:spacing w:val="-3"/>
          <w:szCs w:val="14"/>
        </w:rPr>
      </w:pPr>
      <w:r>
        <w:rPr>
          <w:rFonts w:ascii="Cambria" w:hAnsi="Cambria"/>
          <w:color w:val="000000"/>
        </w:rPr>
        <w:t>Die Vereinbarung tritt zum Datum der Unterschrift durch die Parteien in Kraft.</w:t>
      </w:r>
    </w:p>
    <w:p w14:paraId="31776A59" w14:textId="10A3375F" w:rsidR="005A759C" w:rsidRPr="008E4974" w:rsidRDefault="005A759C" w:rsidP="008E4974">
      <w:pPr>
        <w:spacing w:before="278" w:line="357" w:lineRule="exact"/>
        <w:ind w:left="216"/>
        <w:jc w:val="both"/>
        <w:textAlignment w:val="baseline"/>
        <w:rPr>
          <w:rFonts w:ascii="Cambria" w:eastAsia="Calibri Light" w:hAnsi="Cambria"/>
          <w:color w:val="000000"/>
          <w:spacing w:val="-3"/>
          <w:szCs w:val="14"/>
        </w:rPr>
      </w:pPr>
      <w:r>
        <w:rPr>
          <w:rFonts w:ascii="Cambria" w:hAnsi="Cambria"/>
          <w:color w:val="000000"/>
        </w:rPr>
        <w:t>Sie wird für eine unbestimmte Laufzeit unter Vorbehalt einer etwaigen Anpassung des gesetzlichen und regulatorischen Rahmens abgeschlossen.</w:t>
      </w:r>
    </w:p>
    <w:p w14:paraId="6DD2235A" w14:textId="221E040B" w:rsidR="00C352CB" w:rsidRPr="008E4974" w:rsidRDefault="005A759C" w:rsidP="008E4974">
      <w:pPr>
        <w:spacing w:before="278" w:line="357" w:lineRule="exact"/>
        <w:ind w:left="216"/>
        <w:jc w:val="both"/>
        <w:textAlignment w:val="baseline"/>
        <w:rPr>
          <w:rFonts w:ascii="Cambria" w:eastAsia="Calibri Light" w:hAnsi="Cambria"/>
          <w:color w:val="000000"/>
          <w:spacing w:val="-3"/>
          <w:szCs w:val="14"/>
        </w:rPr>
      </w:pPr>
      <w:r>
        <w:rPr>
          <w:rFonts w:ascii="Cambria" w:hAnsi="Cambria"/>
          <w:color w:val="000000"/>
        </w:rPr>
        <w:t>Im Falle einer Änderung des für die gemeinsame Nutzung geltenden gesetzlichen und rechtlichen Rahmens verpflichten sich die Parteien, innerhalb der durch diesen gesetzlichen und rechtlichen Rahmen vorgeschriebenen Frist und – sofern keine solche Frist besteht – innerhalb von zwei Monaten nach Inkrafttreten der neuen gesetzlichen, rechtlichen oder regulatorischen Bestimmungen in gutem Glauben eine neue Vereinbarung auszuhandeln, welche diesem Rahmen entspricht.</w:t>
      </w:r>
    </w:p>
    <w:p w14:paraId="08D007FC" w14:textId="58330EC6" w:rsidR="00415838" w:rsidRDefault="005A759C" w:rsidP="00FD5B51">
      <w:pPr>
        <w:spacing w:before="278" w:line="357" w:lineRule="exact"/>
        <w:ind w:left="216"/>
        <w:jc w:val="both"/>
        <w:textAlignment w:val="baseline"/>
        <w:rPr>
          <w:rFonts w:ascii="Cambria" w:eastAsia="Calibri Light" w:hAnsi="Cambria"/>
          <w:color w:val="000000"/>
          <w:spacing w:val="-3"/>
          <w:szCs w:val="14"/>
        </w:rPr>
      </w:pPr>
      <w:r>
        <w:rPr>
          <w:rFonts w:ascii="Cambria" w:hAnsi="Cambria"/>
          <w:color w:val="000000"/>
        </w:rPr>
        <w:t xml:space="preserve">Die Vereinbarung kann innerhalb der Fristen gekündigt werden, die durch Artikel 9.5 der Vereinbarung vorgesehen sind. </w:t>
      </w:r>
    </w:p>
    <w:p w14:paraId="1A7CCF65" w14:textId="77777777" w:rsidR="00D752BB" w:rsidRPr="00426871" w:rsidRDefault="00D752BB" w:rsidP="00FD5B51">
      <w:pPr>
        <w:spacing w:before="278" w:line="357" w:lineRule="exact"/>
        <w:ind w:left="216"/>
        <w:jc w:val="both"/>
        <w:textAlignment w:val="baseline"/>
        <w:rPr>
          <w:rFonts w:ascii="Cambria" w:eastAsia="Calibri Light" w:hAnsi="Cambria"/>
          <w:color w:val="000000"/>
          <w:spacing w:val="-3"/>
          <w:sz w:val="10"/>
          <w:szCs w:val="10"/>
          <w:lang w:val="fr-FR"/>
        </w:rPr>
      </w:pPr>
    </w:p>
    <w:p w14:paraId="71F3ECE5" w14:textId="7110075D" w:rsidR="00354954" w:rsidRPr="00E00771" w:rsidRDefault="008E4974" w:rsidP="00D752BB">
      <w:pPr>
        <w:spacing w:before="332" w:line="274" w:lineRule="exact"/>
        <w:ind w:left="216"/>
        <w:jc w:val="both"/>
        <w:textAlignment w:val="baseline"/>
        <w:rPr>
          <w:rFonts w:ascii="Arial" w:eastAsia="Arial" w:hAnsi="Arial"/>
          <w:b/>
          <w:color w:val="000000"/>
          <w:sz w:val="24"/>
        </w:rPr>
      </w:pPr>
      <w:bookmarkStart w:id="5" w:name="_Hlk133933773"/>
      <w:r>
        <w:rPr>
          <w:rFonts w:ascii="Arial" w:hAnsi="Arial"/>
          <w:b/>
          <w:color w:val="000000"/>
          <w:sz w:val="24"/>
        </w:rPr>
        <w:t>9.2 Datum der Aufnahme der Aktivität zur gemeinsamen Nutzung von Energie</w:t>
      </w:r>
    </w:p>
    <w:bookmarkEnd w:id="5"/>
    <w:p w14:paraId="5D6F7811" w14:textId="6C214692" w:rsidR="0069456E" w:rsidRPr="00E00771" w:rsidRDefault="0069456E" w:rsidP="00E00771">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Aktivität zur gemeinsamen Nutzung von Energie beginnt am </w:t>
      </w:r>
      <w:r>
        <w:rPr>
          <w:rFonts w:ascii="Cambria" w:hAnsi="Cambria"/>
          <w:color w:val="000000"/>
          <w:highlight w:val="yellow"/>
        </w:rPr>
        <w:t>[à compléter]</w:t>
      </w:r>
      <w:r>
        <w:rPr>
          <w:rFonts w:ascii="Cambria" w:hAnsi="Cambria"/>
          <w:color w:val="000000"/>
        </w:rPr>
        <w:t>, sofern die Vereinbarung unterzeichnet wurde und 20 Tage vor diesem Datum beim Netzbetreiber eingegangen ist.</w:t>
      </w:r>
    </w:p>
    <w:p w14:paraId="615FDAD5" w14:textId="6DC9DEA2" w:rsidR="0069456E" w:rsidRPr="00E00771" w:rsidRDefault="0069456E" w:rsidP="00E00771">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t>ODER</w:t>
      </w:r>
    </w:p>
    <w:p w14:paraId="43D963AC" w14:textId="6BC005FB" w:rsidR="00107297" w:rsidRPr="00E00771" w:rsidRDefault="0069456E" w:rsidP="00E00771">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 xml:space="preserve">Die Aktivität zur gemeinsamen Nutzung von Energie beginnt am 20. Arbeitstag nach dem Tag des Erhalts der unterzeichneten Vereinbarung durch den betroffenen Netzbetreiber. Der Netzbetreiber informiert den benannten Vertreter über das genaue Datum für die Aufnahme der Aktivität zur gemeinsamen Nutzung von Energie. </w:t>
      </w:r>
    </w:p>
    <w:p w14:paraId="63CB1E93" w14:textId="2221C117" w:rsidR="0069456E" w:rsidRPr="00E00771" w:rsidRDefault="00107297" w:rsidP="00E00771">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ist verpflichtet, alle Teilnehmer der gemeinsamen Nutzung von Energie hierüber zu informieren.</w:t>
      </w:r>
    </w:p>
    <w:p w14:paraId="64DAEABA" w14:textId="6A38921D" w:rsidR="0069456E" w:rsidRPr="00E00771" w:rsidRDefault="0069456E" w:rsidP="00E00771">
      <w:pPr>
        <w:spacing w:before="278" w:line="357" w:lineRule="exact"/>
        <w:ind w:left="216"/>
        <w:jc w:val="both"/>
        <w:textAlignment w:val="baseline"/>
        <w:rPr>
          <w:rFonts w:ascii="Cambria" w:eastAsia="Cambria" w:hAnsi="Cambria"/>
          <w:color w:val="000000"/>
        </w:rPr>
      </w:pPr>
      <w:r>
        <w:rPr>
          <w:rFonts w:ascii="Cambria" w:hAnsi="Cambria"/>
          <w:color w:val="000000"/>
          <w:highlight w:val="yellow"/>
        </w:rPr>
        <w:t>ODER</w:t>
      </w:r>
    </w:p>
    <w:p w14:paraId="1DE65F09" w14:textId="51F07C50" w:rsidR="00AC57DA" w:rsidRPr="00E00771" w:rsidRDefault="0069456E" w:rsidP="00E00771">
      <w:pPr>
        <w:spacing w:before="278" w:line="357" w:lineRule="exact"/>
        <w:ind w:left="216"/>
        <w:jc w:val="both"/>
        <w:textAlignment w:val="baseline"/>
        <w:rPr>
          <w:rFonts w:ascii="Cambria" w:eastAsia="Cambria" w:hAnsi="Cambria"/>
          <w:color w:val="000000"/>
        </w:rPr>
      </w:pPr>
      <w:r>
        <w:rPr>
          <w:rFonts w:ascii="Cambria" w:hAnsi="Cambria"/>
          <w:color w:val="000000"/>
        </w:rPr>
        <w:t>Die Aktivität zur gemeinsamen Nutzung von Energie beginnt am 20. Arbeitstag nach Erhalt des Nachweises über die Erfüllung aller aufschiebenden Bedingungen durch den betroffenen Netzbetreiber. Der Netzbetreiber informiert den benannten Vertreter spätestens 15 Arbeitstage vor diesem Datum über das genaue Datum für die Aufnahme der Aktivität zur gemeinsamen Nutzung von Energie.</w:t>
      </w:r>
    </w:p>
    <w:p w14:paraId="1B978A84" w14:textId="111424BB" w:rsidR="00426871" w:rsidRDefault="0043146E" w:rsidP="00E31888">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ist verpflichtet, alle Teilnehmer der gemeinsamen Nutzung von Energie hierüber zu informieren.</w:t>
      </w:r>
    </w:p>
    <w:p w14:paraId="1FC027FE" w14:textId="77777777" w:rsidR="00FE0B5F" w:rsidRPr="00C001CB" w:rsidRDefault="00FE0B5F" w:rsidP="00C001CB">
      <w:pPr>
        <w:ind w:left="864" w:hanging="720"/>
        <w:textAlignment w:val="baseline"/>
        <w:rPr>
          <w:rFonts w:ascii="Arial" w:eastAsia="Arial" w:hAnsi="Arial"/>
          <w:b/>
          <w:color w:val="000000"/>
          <w:sz w:val="24"/>
          <w:lang w:val="fr-FR"/>
        </w:rPr>
      </w:pPr>
    </w:p>
    <w:p w14:paraId="7917CCCB" w14:textId="4C5F857C" w:rsidR="00CC168B" w:rsidRPr="00415838" w:rsidRDefault="007B6706" w:rsidP="00D752BB">
      <w:pPr>
        <w:spacing w:before="332" w:line="274" w:lineRule="exact"/>
        <w:ind w:left="216"/>
        <w:jc w:val="both"/>
        <w:textAlignment w:val="baseline"/>
        <w:rPr>
          <w:rFonts w:ascii="Arial" w:eastAsia="Arial" w:hAnsi="Arial"/>
          <w:b/>
          <w:color w:val="000000"/>
          <w:sz w:val="24"/>
        </w:rPr>
      </w:pPr>
      <w:r>
        <w:rPr>
          <w:rFonts w:ascii="Arial" w:hAnsi="Arial"/>
          <w:b/>
          <w:color w:val="000000"/>
          <w:sz w:val="24"/>
        </w:rPr>
        <w:t>9.3 Änderung in Verbindung mit der gemeinsamen Nutzung von Energie</w:t>
      </w:r>
    </w:p>
    <w:p w14:paraId="36552531" w14:textId="488947B9" w:rsidR="00CC168B" w:rsidRDefault="00CC168B" w:rsidP="009E424B">
      <w:pPr>
        <w:spacing w:before="278" w:line="357" w:lineRule="exact"/>
        <w:ind w:left="216"/>
        <w:jc w:val="both"/>
        <w:textAlignment w:val="baseline"/>
        <w:rPr>
          <w:rFonts w:ascii="Cambria" w:eastAsia="Cambria" w:hAnsi="Cambria"/>
          <w:color w:val="000000"/>
        </w:rPr>
      </w:pPr>
      <w:r>
        <w:rPr>
          <w:rFonts w:ascii="Cambria" w:hAnsi="Cambria"/>
          <w:color w:val="000000"/>
        </w:rPr>
        <w:t>Vor ihrer Umsetzung wird jede Änderung im Zusammenhang mit der gemeinsamen Nutzung von Energie, die eine Änderung der Bedingungen der Vereinbarung zur Folge hat, dem Netzbetreiber vom benannten Vertreter mit einem beweiskräftigen Kommunikationsmittel mitgeteilt und nach Prüfung der Einhaltung der Bedingungen durch den Netzbetreiber Gegenstand eines Nachtrags zur Vereinbarung.</w:t>
      </w:r>
    </w:p>
    <w:p w14:paraId="0EB5F8BB" w14:textId="77777777" w:rsidR="00504BA3" w:rsidRPr="00C001CB" w:rsidRDefault="00504BA3" w:rsidP="00C001CB">
      <w:pPr>
        <w:ind w:left="864" w:hanging="720"/>
        <w:textAlignment w:val="baseline"/>
        <w:rPr>
          <w:rFonts w:ascii="Arial" w:eastAsia="Arial" w:hAnsi="Arial"/>
          <w:b/>
          <w:color w:val="000000"/>
          <w:sz w:val="24"/>
          <w:lang w:val="fr-FR"/>
        </w:rPr>
      </w:pPr>
    </w:p>
    <w:p w14:paraId="484EBCAE" w14:textId="1B4C8FAD" w:rsidR="00504BA3" w:rsidRPr="00415838" w:rsidRDefault="007B6706" w:rsidP="00D752BB">
      <w:pPr>
        <w:spacing w:before="332" w:line="274" w:lineRule="exact"/>
        <w:ind w:left="216"/>
        <w:jc w:val="both"/>
        <w:textAlignment w:val="baseline"/>
        <w:rPr>
          <w:rFonts w:ascii="Arial" w:eastAsia="Arial" w:hAnsi="Arial"/>
          <w:b/>
          <w:color w:val="000000"/>
          <w:sz w:val="24"/>
        </w:rPr>
      </w:pPr>
      <w:r>
        <w:rPr>
          <w:rFonts w:ascii="Arial" w:hAnsi="Arial"/>
          <w:b/>
          <w:color w:val="000000"/>
          <w:sz w:val="24"/>
        </w:rPr>
        <w:t>9.4 Schutz personenbezogener Daten</w:t>
      </w:r>
    </w:p>
    <w:p w14:paraId="0AA1D9F7" w14:textId="119704F5" w:rsidR="00504BA3" w:rsidRPr="009E424B" w:rsidRDefault="00504BA3" w:rsidP="009E424B">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 Parteien verpflichten sich zur Einhaltung der Gesetze zur Privatsphäre (Verordnung (EU) 2016/679 des Europäischen Parlaments und des Rates vom 27. April 2016 zum Schutz natürlicher Personen bei der Verarbeitung personenbezogener Daten und zum freien Datenverkehr) sowie des Gesetzes vom 30. Juli 2018 zum Schutz natürlicher Personen bei der Verarbeitung personenbezogener Daten („Rahmengesetz“). </w:t>
      </w:r>
    </w:p>
    <w:p w14:paraId="347D0725" w14:textId="3088AB7A" w:rsidR="00504BA3" w:rsidRPr="009E424B" w:rsidRDefault="00504BA3" w:rsidP="00426871">
      <w:pPr>
        <w:spacing w:before="278" w:line="357" w:lineRule="exact"/>
        <w:ind w:left="216"/>
        <w:jc w:val="both"/>
        <w:textAlignment w:val="baseline"/>
        <w:rPr>
          <w:rFonts w:ascii="Cambria" w:eastAsia="Cambria" w:hAnsi="Cambria"/>
          <w:color w:val="000000"/>
        </w:rPr>
      </w:pPr>
      <w:r>
        <w:rPr>
          <w:rFonts w:ascii="Cambria" w:hAnsi="Cambria"/>
          <w:color w:val="000000"/>
        </w:rPr>
        <w:t>Die Rechte auf Zugriff und gegebenenfalls auf Berichtigung oder Löschung von personenbezogenen Daten – insbesondere bezüglich eines Teilnehmers – werden von den Parteien garantiert.</w:t>
      </w:r>
    </w:p>
    <w:p w14:paraId="30A4834D" w14:textId="3A327B45" w:rsidR="00504BA3" w:rsidRPr="009E424B" w:rsidRDefault="00504BA3" w:rsidP="009E424B">
      <w:pPr>
        <w:spacing w:before="278" w:line="357" w:lineRule="exact"/>
        <w:ind w:left="216"/>
        <w:jc w:val="both"/>
        <w:textAlignment w:val="baseline"/>
        <w:rPr>
          <w:rFonts w:ascii="Cambria" w:eastAsia="Cambria" w:hAnsi="Cambria"/>
          <w:color w:val="000000"/>
        </w:rPr>
      </w:pPr>
      <w:r>
        <w:rPr>
          <w:rFonts w:ascii="Cambria" w:hAnsi="Cambria"/>
          <w:color w:val="000000"/>
        </w:rPr>
        <w:lastRenderedPageBreak/>
        <w:t>Für die Anwendung der vorliegenden Vereinbarung handeln der benannte Vertreter und der Netzbetreiber in der Funktion als Verantwortliche für die Verarbeitung, jeweils für die Verarbeitungen, die unter die ihnen durch das Dekret vom 12. April 2001 bezüglich der Organisation des regionalen Elektrizitätsmarktes und dessen Ausführungserlasse übertragenen gesetzlichen Aufgaben fallen. Der benannte Verantwortliche ist somit ab Erhalt der Daten für deren Verarbeitung verantwortlich.</w:t>
      </w:r>
    </w:p>
    <w:p w14:paraId="478D25B7" w14:textId="594747B9" w:rsidR="00504BA3" w:rsidRPr="009E424B" w:rsidRDefault="00504BA3" w:rsidP="009E424B">
      <w:pPr>
        <w:spacing w:before="278" w:line="357" w:lineRule="exact"/>
        <w:ind w:left="216"/>
        <w:jc w:val="both"/>
        <w:textAlignment w:val="baseline"/>
        <w:rPr>
          <w:rFonts w:ascii="Cambria" w:eastAsia="Cambria" w:hAnsi="Cambria"/>
          <w:color w:val="000000"/>
        </w:rPr>
      </w:pPr>
      <w:r>
        <w:rPr>
          <w:rFonts w:ascii="Cambria" w:hAnsi="Cambria"/>
          <w:color w:val="000000"/>
        </w:rPr>
        <w:t>Wenn der benannte Vertreter von einem Teilnehmer einen Antrag auf Zugriff und auf Berichtigung bezüglich personenbezogener Daten erhält, die den Teilnehmer betreffen und die sich in seinem Besitz befinden, richtet der benannte Vertreter seine Antwort direkt an den Teilnehmer.</w:t>
      </w:r>
    </w:p>
    <w:p w14:paraId="105CC360" w14:textId="25CA3ACD" w:rsidR="00155575" w:rsidRPr="009E424B" w:rsidRDefault="00504BA3" w:rsidP="009E424B">
      <w:pPr>
        <w:spacing w:before="278" w:line="357" w:lineRule="exact"/>
        <w:ind w:left="216"/>
        <w:jc w:val="both"/>
        <w:textAlignment w:val="baseline"/>
        <w:rPr>
          <w:rFonts w:ascii="Cambria" w:eastAsia="Cambria" w:hAnsi="Cambria"/>
          <w:color w:val="000000"/>
        </w:rPr>
      </w:pPr>
      <w:r>
        <w:rPr>
          <w:rFonts w:ascii="Cambria" w:hAnsi="Cambria"/>
          <w:color w:val="000000"/>
        </w:rPr>
        <w:t>Wenn der benannte Vertreter von einem Teilnehmer einen Antrag auf Zugriff und auf Berichtigung bezüglich personenbezogener Daten erhält, die den Teilnehmer betreffen und die sich im Besitz des Netzbetreibers befinden, übermittelt er den Antrag unverzüglich dem Netzbetreiber. Der Netzbetreiber richtet seine Antwort direkt an den betroffenen Teilnehmer und informiert den benannten Vertreter.</w:t>
      </w:r>
    </w:p>
    <w:p w14:paraId="5C2FC814" w14:textId="12367DDC" w:rsidR="00155575" w:rsidRPr="009E424B" w:rsidRDefault="00155575" w:rsidP="009E424B">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verpflichtet sich dazu, die Daten, die ihm der Netzbetreiber übermittelt, gemäß den Bestimmungen der Vereinbarung und gemäß den Zwecken, die eindeutig im Dekret vom 12. April 2001 bezüglich der Organisation des regionalen Elektrizitätsmarktes und in dessen Ausführungserlassen beschrieben sind, zu nutzen.</w:t>
      </w:r>
    </w:p>
    <w:p w14:paraId="065277F8" w14:textId="32A735F8" w:rsidR="007E2044" w:rsidRPr="009E424B" w:rsidRDefault="00155575" w:rsidP="009E424B">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verpflichtet sich dazu, durch keine Handlung oder Unterlassung den Netzbetreiber in eine Situation zu bringen, in der dieser möglicherweise gegen Datenschutzgesetze verstößt, und selbst in keiner Weise gegen Datenschutzgesetze zu verstoßen. Bei einem Vorfall, der die Daten der Teilnehmer betrifft, und wenn dies angemessen ist, unterstützt der Vertreter den Netzbetreiber in vollem Umfang.</w:t>
      </w:r>
    </w:p>
    <w:p w14:paraId="309CD619" w14:textId="77777777" w:rsidR="00FA6755" w:rsidRDefault="00FA6755" w:rsidP="00950B75">
      <w:pPr>
        <w:jc w:val="both"/>
        <w:textAlignment w:val="baseline"/>
        <w:rPr>
          <w:rFonts w:ascii="Cambria" w:eastAsia="Calibri Light" w:hAnsi="Cambria"/>
          <w:bCs/>
          <w:color w:val="000000"/>
          <w:spacing w:val="-3"/>
          <w:szCs w:val="14"/>
          <w:lang w:val="fr-FR"/>
        </w:rPr>
      </w:pPr>
    </w:p>
    <w:p w14:paraId="1E5C01CA" w14:textId="3EE494E3" w:rsidR="00FA6755" w:rsidRDefault="007B6706" w:rsidP="00D752BB">
      <w:pPr>
        <w:spacing w:before="332" w:line="274" w:lineRule="exact"/>
        <w:ind w:left="216"/>
        <w:jc w:val="both"/>
        <w:textAlignment w:val="baseline"/>
        <w:rPr>
          <w:rFonts w:ascii="Arial" w:eastAsia="Arial" w:hAnsi="Arial"/>
          <w:b/>
          <w:color w:val="000000"/>
          <w:sz w:val="24"/>
        </w:rPr>
      </w:pPr>
      <w:bookmarkStart w:id="6" w:name="_Hlk133935775"/>
      <w:r>
        <w:rPr>
          <w:rFonts w:ascii="Arial" w:hAnsi="Arial"/>
          <w:b/>
          <w:color w:val="000000"/>
          <w:sz w:val="24"/>
        </w:rPr>
        <w:t>9.5 Kündigung der Vereinbarung</w:t>
      </w:r>
      <w:bookmarkEnd w:id="6"/>
    </w:p>
    <w:p w14:paraId="28918F36" w14:textId="728CD746" w:rsidR="00E041E6" w:rsidRDefault="00E041E6" w:rsidP="009E424B">
      <w:pPr>
        <w:spacing w:before="278" w:line="357" w:lineRule="exact"/>
        <w:ind w:left="216"/>
        <w:jc w:val="both"/>
        <w:textAlignment w:val="baseline"/>
        <w:rPr>
          <w:rFonts w:ascii="Cambria" w:eastAsia="Cambria" w:hAnsi="Cambria"/>
          <w:color w:val="000000"/>
        </w:rPr>
      </w:pPr>
      <w:r>
        <w:rPr>
          <w:rFonts w:ascii="Cambria" w:hAnsi="Cambria"/>
          <w:color w:val="000000"/>
        </w:rPr>
        <w:t>Der benannte Vertreter hat die Möglichkeit, die Vereinbarung zu kündigen, wenn die Aktivität zur gemeinsamen Nutzung von Energie eingestellt wird. In diesem Fall und gemäß Artikel 9 des Erlasses der Wallonischen Regierung vom 17. März 2023 über Energiegemeinschaften und die gemeinsame Nutzung von Energie informiert der benannte Vertreter auf elektronischem Wege den Netzbetreiber über das gewünschte Datum der Einstellung der Aktivität zur gemeinsamen Nutzung von Energie, welche um Mitternacht erfolgen muss.</w:t>
      </w:r>
    </w:p>
    <w:p w14:paraId="66903A31" w14:textId="6C60DCAB" w:rsidR="00E041E6" w:rsidRDefault="00E041E6" w:rsidP="009E424B">
      <w:pPr>
        <w:spacing w:before="278" w:line="357" w:lineRule="exact"/>
        <w:ind w:left="216"/>
        <w:jc w:val="both"/>
        <w:textAlignment w:val="baseline"/>
        <w:rPr>
          <w:rFonts w:ascii="Cambria" w:eastAsia="Cambria" w:hAnsi="Cambria"/>
          <w:color w:val="000000"/>
        </w:rPr>
      </w:pPr>
      <w:r>
        <w:rPr>
          <w:rFonts w:ascii="Cambria" w:hAnsi="Cambria"/>
          <w:color w:val="000000"/>
        </w:rPr>
        <w:t xml:space="preserve">Diese Information muss bis spätestens 20 Arbeitstage vor dem gewünschten Datum der Einstellung der Aktivität zur gemeinsamen Nutzung von Energie beim Netzbetreiber eingehen. </w:t>
      </w:r>
      <w:r>
        <w:rPr>
          <w:rFonts w:ascii="Cambria" w:hAnsi="Cambria"/>
          <w:color w:val="000000"/>
        </w:rPr>
        <w:lastRenderedPageBreak/>
        <w:t>Sollte diese Frist nicht eingehalten werden, erfolgt die Einstellung der Aktivität am 20. Arbeitstag ab Erhalt der Information durch den Netzbetreiber.</w:t>
      </w:r>
    </w:p>
    <w:p w14:paraId="2B652DE8" w14:textId="69822E04" w:rsidR="00426871" w:rsidRDefault="00E041E6" w:rsidP="00E31888">
      <w:pPr>
        <w:spacing w:before="278" w:line="357" w:lineRule="exact"/>
        <w:ind w:left="216"/>
        <w:jc w:val="both"/>
        <w:textAlignment w:val="baseline"/>
        <w:rPr>
          <w:rFonts w:ascii="Cambria" w:eastAsia="Cambria" w:hAnsi="Cambria"/>
          <w:color w:val="000000"/>
        </w:rPr>
      </w:pPr>
      <w:r>
        <w:rPr>
          <w:rFonts w:ascii="Cambria" w:hAnsi="Cambria"/>
          <w:color w:val="000000"/>
        </w:rPr>
        <w:t xml:space="preserve">Der Netzbetreiber hat die Möglichkeit, die Vereinbarung per Einschreiben mit Anforderung einer Empfangsbestätigung an den benannten Vertreter zu kündigen, wobei eine Kündigungsfrist von mindestens drei Monaten vor dem gewünschten Datum des Inkrafttretens dieser Kündigung einzuhalten ist, wenn der benannte Vertreter seinen Pflichten aus dieser Vereinbarung nicht nachkommt, nachdem eine Aufforderung zur Einhaltung der Pflichten innerhalb einer angemessenen Frist erfolglos geblieben ist. </w:t>
      </w:r>
    </w:p>
    <w:p w14:paraId="26F5EBD8" w14:textId="77777777" w:rsidR="00E31888" w:rsidRPr="00D752BB" w:rsidRDefault="00E31888" w:rsidP="00D752BB">
      <w:pPr>
        <w:jc w:val="both"/>
        <w:textAlignment w:val="baseline"/>
        <w:rPr>
          <w:rFonts w:ascii="Cambria" w:eastAsia="Calibri Light" w:hAnsi="Cambria"/>
          <w:bCs/>
          <w:color w:val="000000"/>
          <w:spacing w:val="-3"/>
          <w:szCs w:val="14"/>
          <w:lang w:val="fr-FR"/>
        </w:rPr>
      </w:pPr>
    </w:p>
    <w:p w14:paraId="0663BEF4" w14:textId="30782C4A" w:rsidR="00E40222" w:rsidRPr="00C04A2F" w:rsidRDefault="00705F71" w:rsidP="00D752BB">
      <w:pPr>
        <w:spacing w:before="332" w:line="274" w:lineRule="exact"/>
        <w:ind w:left="216"/>
        <w:jc w:val="both"/>
        <w:textAlignment w:val="baseline"/>
        <w:rPr>
          <w:rFonts w:ascii="Arial" w:eastAsia="Arial" w:hAnsi="Arial"/>
          <w:b/>
          <w:color w:val="000000"/>
          <w:sz w:val="24"/>
        </w:rPr>
      </w:pPr>
      <w:r>
        <w:rPr>
          <w:rFonts w:ascii="Arial" w:hAnsi="Arial"/>
          <w:b/>
          <w:color w:val="000000"/>
          <w:sz w:val="24"/>
        </w:rPr>
        <w:t>9.6 Anwendbares Recht </w:t>
      </w:r>
    </w:p>
    <w:p w14:paraId="505810E5" w14:textId="36C44D5D" w:rsidR="00E40222" w:rsidRPr="009E424B" w:rsidRDefault="00E40222" w:rsidP="009E424B">
      <w:pPr>
        <w:spacing w:before="278" w:line="357" w:lineRule="exact"/>
        <w:ind w:left="216"/>
        <w:jc w:val="both"/>
        <w:textAlignment w:val="baseline"/>
        <w:rPr>
          <w:rFonts w:ascii="Cambria" w:eastAsia="Cambria" w:hAnsi="Cambria"/>
          <w:color w:val="000000"/>
        </w:rPr>
      </w:pPr>
      <w:r>
        <w:rPr>
          <w:rFonts w:ascii="Cambria" w:hAnsi="Cambria"/>
          <w:color w:val="000000"/>
        </w:rPr>
        <w:t>Die vorliegende Vereinbarung unterliegt belgischem Recht.</w:t>
      </w:r>
    </w:p>
    <w:p w14:paraId="7119FECC" w14:textId="77777777" w:rsidR="004A4BAE" w:rsidRPr="009E424B" w:rsidRDefault="004A4BAE" w:rsidP="009E424B">
      <w:pPr>
        <w:spacing w:before="278" w:line="357" w:lineRule="exact"/>
        <w:ind w:left="216"/>
        <w:jc w:val="both"/>
        <w:textAlignment w:val="baseline"/>
        <w:rPr>
          <w:rFonts w:ascii="Cambria" w:eastAsia="Cambria" w:hAnsi="Cambria"/>
          <w:color w:val="000000"/>
        </w:rPr>
      </w:pPr>
      <w:r>
        <w:rPr>
          <w:rFonts w:ascii="Cambria" w:hAnsi="Cambria"/>
          <w:color w:val="000000"/>
        </w:rPr>
        <w:t>Jede Streitigkeit bezüglich der Gültigkeit, Interpretation und Durchführung der vorliegenden Vereinbarung ist Gegenstand eines obligatorischen vorherigen Schlichtungsversuchs zwischen den Parteien.</w:t>
      </w:r>
    </w:p>
    <w:p w14:paraId="046BC0E5" w14:textId="611C5A5B" w:rsidR="00F52A16" w:rsidRPr="008E7D6F" w:rsidRDefault="00F52A16" w:rsidP="008E7D6F">
      <w:pPr>
        <w:jc w:val="both"/>
        <w:textAlignment w:val="baseline"/>
        <w:rPr>
          <w:rFonts w:ascii="Cambria" w:eastAsia="Calibri Light" w:hAnsi="Cambria"/>
          <w:bCs/>
          <w:color w:val="000000"/>
          <w:spacing w:val="-3"/>
          <w:szCs w:val="14"/>
          <w:lang w:val="fr-FR"/>
        </w:rPr>
      </w:pPr>
    </w:p>
    <w:p w14:paraId="16B2C335" w14:textId="77777777" w:rsidR="008E7D6F" w:rsidRPr="008E7D6F" w:rsidRDefault="008E7D6F" w:rsidP="008E7D6F">
      <w:pPr>
        <w:jc w:val="both"/>
        <w:textAlignment w:val="baseline"/>
        <w:rPr>
          <w:rFonts w:ascii="Cambria" w:eastAsia="Calibri Light" w:hAnsi="Cambria"/>
          <w:bCs/>
          <w:color w:val="000000"/>
          <w:spacing w:val="-3"/>
          <w:szCs w:val="14"/>
          <w:lang w:val="fr-FR"/>
        </w:rPr>
      </w:pPr>
    </w:p>
    <w:p w14:paraId="7E233BF7" w14:textId="3568F604" w:rsidR="00F52A16" w:rsidRPr="009E424B" w:rsidRDefault="00F52A16" w:rsidP="009E424B">
      <w:pPr>
        <w:spacing w:before="278" w:line="357" w:lineRule="exact"/>
        <w:ind w:left="216"/>
        <w:jc w:val="both"/>
        <w:textAlignment w:val="baseline"/>
        <w:rPr>
          <w:rFonts w:ascii="Cambria" w:eastAsia="Cambria" w:hAnsi="Cambria"/>
          <w:color w:val="000000"/>
        </w:rPr>
      </w:pPr>
      <w:r>
        <w:rPr>
          <w:rFonts w:ascii="Cambria" w:hAnsi="Cambria"/>
          <w:color w:val="000000"/>
        </w:rPr>
        <w:t>Erstellt in zweifacher Ausfertigung im ………………….………………… am …………………………, wobei beide Parteien bestätigen, ihre Ausfertigung erhalten zu haben.</w:t>
      </w:r>
    </w:p>
    <w:p w14:paraId="28C0642D" w14:textId="77777777" w:rsidR="00F52A16" w:rsidRPr="00F52A16" w:rsidRDefault="00F52A16" w:rsidP="00F52A16">
      <w:pPr>
        <w:jc w:val="right"/>
        <w:rPr>
          <w:rFonts w:ascii="Cambria" w:hAnsi="Cambria"/>
          <w:lang w:val="fr-BE"/>
        </w:rPr>
      </w:pPr>
    </w:p>
    <w:p w14:paraId="77CFDD0C" w14:textId="77777777" w:rsidR="00F52A16" w:rsidRPr="00F52A16" w:rsidRDefault="00F52A16" w:rsidP="00F52A16">
      <w:pPr>
        <w:jc w:val="right"/>
        <w:rPr>
          <w:rFonts w:ascii="Cambria" w:hAnsi="Cambria"/>
          <w:lang w:val="fr-BE"/>
        </w:rPr>
      </w:pPr>
    </w:p>
    <w:p w14:paraId="7C60193B" w14:textId="1640B0CD" w:rsidR="00F52A16" w:rsidRPr="00F52A16" w:rsidRDefault="00F52A16" w:rsidP="00C04A2F">
      <w:pPr>
        <w:rPr>
          <w:rFonts w:ascii="Cambria" w:hAnsi="Cambria"/>
        </w:rPr>
      </w:pPr>
      <w:r>
        <w:rPr>
          <w:rFonts w:ascii="Cambria" w:hAnsi="Cambria"/>
        </w:rPr>
        <w:t>Für den Netzbetreiber                                                                   Für den benannten Vertreter,</w:t>
      </w:r>
    </w:p>
    <w:p w14:paraId="0DB4E0A7" w14:textId="77777777" w:rsidR="00F52A16" w:rsidRPr="00F52A16" w:rsidRDefault="00F52A16" w:rsidP="00F52A16">
      <w:pPr>
        <w:jc w:val="right"/>
        <w:rPr>
          <w:rFonts w:ascii="Cambria" w:hAnsi="Cambria"/>
          <w:lang w:val="fr-BE"/>
        </w:rPr>
      </w:pPr>
    </w:p>
    <w:p w14:paraId="6F1B0FA7" w14:textId="75209A26" w:rsidR="00F52A16" w:rsidRDefault="00F52A16" w:rsidP="00F52A16">
      <w:pPr>
        <w:jc w:val="right"/>
        <w:rPr>
          <w:lang w:val="fr-BE"/>
        </w:rPr>
      </w:pPr>
    </w:p>
    <w:p w14:paraId="6462C3A4" w14:textId="03172868" w:rsidR="00C72E32" w:rsidRDefault="00C72E32" w:rsidP="00F52A16">
      <w:pPr>
        <w:jc w:val="right"/>
      </w:pPr>
      <w:r>
        <w:t>[Anhang 1: Liste der Teilnehmer und der Erzeugungsanlagen]</w:t>
      </w:r>
    </w:p>
    <w:p w14:paraId="30CB4D35" w14:textId="04C373D5" w:rsidR="00984368" w:rsidRPr="00E40222" w:rsidRDefault="007D30E2" w:rsidP="008E7D6F">
      <w:pPr>
        <w:jc w:val="right"/>
      </w:pPr>
      <w:r>
        <w:t>[Anhang 2: Meldeformular]</w:t>
      </w:r>
    </w:p>
    <w:sectPr w:rsidR="00984368" w:rsidRPr="00E40222" w:rsidSect="00D752BB">
      <w:footerReference w:type="default" r:id="rId8"/>
      <w:pgSz w:w="11906" w:h="16838" w:code="9"/>
      <w:pgMar w:top="1418" w:right="1418" w:bottom="1134" w:left="147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D2231" w14:textId="77777777" w:rsidR="00F2724B" w:rsidRDefault="00F2724B" w:rsidP="00984368">
      <w:r>
        <w:separator/>
      </w:r>
    </w:p>
  </w:endnote>
  <w:endnote w:type="continuationSeparator" w:id="0">
    <w:p w14:paraId="0B81ED9F" w14:textId="77777777" w:rsidR="00F2724B" w:rsidRDefault="00F2724B" w:rsidP="0098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980073"/>
      <w:docPartObj>
        <w:docPartGallery w:val="Page Numbers (Bottom of Page)"/>
        <w:docPartUnique/>
      </w:docPartObj>
    </w:sdtPr>
    <w:sdtContent>
      <w:p w14:paraId="37DBA300" w14:textId="125E898D" w:rsidR="00D752BB" w:rsidRDefault="00D752BB">
        <w:pPr>
          <w:pStyle w:val="Fuzeil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57B80" w14:textId="77777777" w:rsidR="00F2724B" w:rsidRDefault="00F2724B" w:rsidP="00984368">
      <w:r>
        <w:separator/>
      </w:r>
    </w:p>
  </w:footnote>
  <w:footnote w:type="continuationSeparator" w:id="0">
    <w:p w14:paraId="79FFB7D4" w14:textId="77777777" w:rsidR="00F2724B" w:rsidRDefault="00F2724B" w:rsidP="00984368">
      <w:r>
        <w:continuationSeparator/>
      </w:r>
    </w:p>
  </w:footnote>
  <w:footnote w:id="1">
    <w:p w14:paraId="1DBE97A6" w14:textId="606DB79D" w:rsidR="00415EEE" w:rsidRPr="00415EEE" w:rsidRDefault="00415EEE" w:rsidP="00D752BB">
      <w:pPr>
        <w:pStyle w:val="Funotentext"/>
        <w:ind w:left="284" w:hanging="284"/>
      </w:pPr>
      <w:bookmarkStart w:id="1" w:name="_Hlk148092179"/>
      <w:r>
        <w:rPr>
          <w:rStyle w:val="Funotenzeichen"/>
        </w:rPr>
        <w:footnoteRef/>
      </w:r>
      <w:bookmarkEnd w:id="1"/>
      <w:r>
        <w:tab/>
        <w:t>Die Tarife für die Nutzung des Netzes können auf der Internetseite der CWaPE (</w:t>
      </w:r>
      <w:hyperlink r:id="rId1" w:history="1">
        <w:r>
          <w:rPr>
            <w:rStyle w:val="Hyperlink"/>
          </w:rPr>
          <w:t>https://wwww.cwape.be</w:t>
        </w:r>
      </w:hyperlink>
      <w:r>
        <w:t xml:space="preserve"> ) und/oder der CREG ( </w:t>
      </w:r>
      <w:hyperlink r:id="rId2" w:history="1">
        <w:r>
          <w:rPr>
            <w:rStyle w:val="Hyperlink"/>
          </w:rPr>
          <w:t>https://www.creg.be/fr</w:t>
        </w:r>
      </w:hyperlink>
      <w:r>
        <w:t xml:space="preserve"> ) abgerufen werden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D34F0"/>
    <w:multiLevelType w:val="multilevel"/>
    <w:tmpl w:val="3CEA629C"/>
    <w:lvl w:ilvl="0">
      <w:numFmt w:val="bullet"/>
      <w:lvlText w:val="·"/>
      <w:lvlJc w:val="left"/>
      <w:pPr>
        <w:tabs>
          <w:tab w:val="left" w:pos="360"/>
        </w:tabs>
      </w:pPr>
      <w:rPr>
        <w:rFonts w:ascii="Symbol" w:eastAsia="Symbol" w:hAnsi="Symbol"/>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CD63E6"/>
    <w:multiLevelType w:val="hybridMultilevel"/>
    <w:tmpl w:val="5C7218BA"/>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num w:numId="1" w16cid:durableId="2073235908">
    <w:abstractNumId w:val="0"/>
  </w:num>
  <w:num w:numId="2" w16cid:durableId="207173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A6"/>
    <w:rsid w:val="000043A1"/>
    <w:rsid w:val="00027249"/>
    <w:rsid w:val="000363D2"/>
    <w:rsid w:val="0006377A"/>
    <w:rsid w:val="00084ECE"/>
    <w:rsid w:val="000C3453"/>
    <w:rsid w:val="000D6D17"/>
    <w:rsid w:val="000E7714"/>
    <w:rsid w:val="000F6238"/>
    <w:rsid w:val="000F7FBF"/>
    <w:rsid w:val="00107297"/>
    <w:rsid w:val="00125687"/>
    <w:rsid w:val="00140772"/>
    <w:rsid w:val="0015241D"/>
    <w:rsid w:val="00155575"/>
    <w:rsid w:val="00160295"/>
    <w:rsid w:val="00162EAF"/>
    <w:rsid w:val="00165002"/>
    <w:rsid w:val="00177FFA"/>
    <w:rsid w:val="0019238C"/>
    <w:rsid w:val="001A2347"/>
    <w:rsid w:val="001B0653"/>
    <w:rsid w:val="001B5A71"/>
    <w:rsid w:val="001B745D"/>
    <w:rsid w:val="001C1897"/>
    <w:rsid w:val="001C2598"/>
    <w:rsid w:val="001E7F4E"/>
    <w:rsid w:val="001F3749"/>
    <w:rsid w:val="001F64CA"/>
    <w:rsid w:val="00240176"/>
    <w:rsid w:val="00241E32"/>
    <w:rsid w:val="002450FB"/>
    <w:rsid w:val="00247176"/>
    <w:rsid w:val="00261A4C"/>
    <w:rsid w:val="00270AFE"/>
    <w:rsid w:val="002A423C"/>
    <w:rsid w:val="002A556C"/>
    <w:rsid w:val="002B0976"/>
    <w:rsid w:val="002B4F0A"/>
    <w:rsid w:val="002C4A95"/>
    <w:rsid w:val="002D28F7"/>
    <w:rsid w:val="002E43E7"/>
    <w:rsid w:val="002F3DB0"/>
    <w:rsid w:val="00310B87"/>
    <w:rsid w:val="003144BA"/>
    <w:rsid w:val="003158FE"/>
    <w:rsid w:val="00326DF0"/>
    <w:rsid w:val="003322BE"/>
    <w:rsid w:val="003427FE"/>
    <w:rsid w:val="00354954"/>
    <w:rsid w:val="003562A9"/>
    <w:rsid w:val="0036473C"/>
    <w:rsid w:val="00365E8B"/>
    <w:rsid w:val="0038248F"/>
    <w:rsid w:val="003941CF"/>
    <w:rsid w:val="003A1F88"/>
    <w:rsid w:val="003A62F0"/>
    <w:rsid w:val="003C0530"/>
    <w:rsid w:val="003C0C37"/>
    <w:rsid w:val="003C12A0"/>
    <w:rsid w:val="003D149E"/>
    <w:rsid w:val="003D1A3A"/>
    <w:rsid w:val="003E743F"/>
    <w:rsid w:val="003F2936"/>
    <w:rsid w:val="00415838"/>
    <w:rsid w:val="00415EEE"/>
    <w:rsid w:val="00421FE7"/>
    <w:rsid w:val="004246FE"/>
    <w:rsid w:val="00426382"/>
    <w:rsid w:val="00426871"/>
    <w:rsid w:val="0043146E"/>
    <w:rsid w:val="00456EB1"/>
    <w:rsid w:val="0046480B"/>
    <w:rsid w:val="00496CA8"/>
    <w:rsid w:val="004A4BAE"/>
    <w:rsid w:val="004C4AEA"/>
    <w:rsid w:val="004D151B"/>
    <w:rsid w:val="004D41DB"/>
    <w:rsid w:val="004F6ABA"/>
    <w:rsid w:val="005021FC"/>
    <w:rsid w:val="00504BA3"/>
    <w:rsid w:val="0051007C"/>
    <w:rsid w:val="005A759C"/>
    <w:rsid w:val="005E6B1A"/>
    <w:rsid w:val="005F5A78"/>
    <w:rsid w:val="00604A39"/>
    <w:rsid w:val="00604B6F"/>
    <w:rsid w:val="0060550E"/>
    <w:rsid w:val="00605B7A"/>
    <w:rsid w:val="006136B7"/>
    <w:rsid w:val="00614092"/>
    <w:rsid w:val="0061570C"/>
    <w:rsid w:val="0062336D"/>
    <w:rsid w:val="00625F1A"/>
    <w:rsid w:val="00627011"/>
    <w:rsid w:val="006360E5"/>
    <w:rsid w:val="00653019"/>
    <w:rsid w:val="0066048C"/>
    <w:rsid w:val="00670303"/>
    <w:rsid w:val="00671839"/>
    <w:rsid w:val="006747B3"/>
    <w:rsid w:val="00676958"/>
    <w:rsid w:val="0069456E"/>
    <w:rsid w:val="006A6CFF"/>
    <w:rsid w:val="006B4634"/>
    <w:rsid w:val="006B62B2"/>
    <w:rsid w:val="006B7AC4"/>
    <w:rsid w:val="006C0067"/>
    <w:rsid w:val="006C044B"/>
    <w:rsid w:val="006D26D5"/>
    <w:rsid w:val="006D60F4"/>
    <w:rsid w:val="006E3CF6"/>
    <w:rsid w:val="0070554C"/>
    <w:rsid w:val="00705F71"/>
    <w:rsid w:val="00710681"/>
    <w:rsid w:val="007468BB"/>
    <w:rsid w:val="0075784A"/>
    <w:rsid w:val="00763D4C"/>
    <w:rsid w:val="00767324"/>
    <w:rsid w:val="00777891"/>
    <w:rsid w:val="00791BE4"/>
    <w:rsid w:val="007A2776"/>
    <w:rsid w:val="007B65E9"/>
    <w:rsid w:val="007B6706"/>
    <w:rsid w:val="007C3FB8"/>
    <w:rsid w:val="007C7057"/>
    <w:rsid w:val="007D0686"/>
    <w:rsid w:val="007D30E2"/>
    <w:rsid w:val="007D6DD2"/>
    <w:rsid w:val="007E2044"/>
    <w:rsid w:val="007E6262"/>
    <w:rsid w:val="00805BD7"/>
    <w:rsid w:val="00806A97"/>
    <w:rsid w:val="00814B23"/>
    <w:rsid w:val="008305C4"/>
    <w:rsid w:val="00843923"/>
    <w:rsid w:val="00850A13"/>
    <w:rsid w:val="008659AF"/>
    <w:rsid w:val="008711BA"/>
    <w:rsid w:val="008730F5"/>
    <w:rsid w:val="008A32E1"/>
    <w:rsid w:val="008A7A58"/>
    <w:rsid w:val="008B77AC"/>
    <w:rsid w:val="008C738B"/>
    <w:rsid w:val="008E1535"/>
    <w:rsid w:val="008E4974"/>
    <w:rsid w:val="008E7D6F"/>
    <w:rsid w:val="008F7F21"/>
    <w:rsid w:val="00900127"/>
    <w:rsid w:val="0091745B"/>
    <w:rsid w:val="00924FB3"/>
    <w:rsid w:val="00945415"/>
    <w:rsid w:val="00950B75"/>
    <w:rsid w:val="00971C54"/>
    <w:rsid w:val="00984368"/>
    <w:rsid w:val="0099181E"/>
    <w:rsid w:val="00991EE6"/>
    <w:rsid w:val="009C73B3"/>
    <w:rsid w:val="009D24E1"/>
    <w:rsid w:val="009D51AF"/>
    <w:rsid w:val="009E424B"/>
    <w:rsid w:val="009F08D9"/>
    <w:rsid w:val="009F28DD"/>
    <w:rsid w:val="009F2B22"/>
    <w:rsid w:val="009F6FB5"/>
    <w:rsid w:val="00A02537"/>
    <w:rsid w:val="00A304F3"/>
    <w:rsid w:val="00A33FA9"/>
    <w:rsid w:val="00A60743"/>
    <w:rsid w:val="00A7173E"/>
    <w:rsid w:val="00A72E7F"/>
    <w:rsid w:val="00A753A6"/>
    <w:rsid w:val="00A76593"/>
    <w:rsid w:val="00A825B0"/>
    <w:rsid w:val="00AA78E3"/>
    <w:rsid w:val="00AB11F2"/>
    <w:rsid w:val="00AB572C"/>
    <w:rsid w:val="00AB73C5"/>
    <w:rsid w:val="00AC0229"/>
    <w:rsid w:val="00AC57DA"/>
    <w:rsid w:val="00AD2201"/>
    <w:rsid w:val="00AE68D0"/>
    <w:rsid w:val="00AF6308"/>
    <w:rsid w:val="00B0227B"/>
    <w:rsid w:val="00B16019"/>
    <w:rsid w:val="00B4442F"/>
    <w:rsid w:val="00B92DA5"/>
    <w:rsid w:val="00BA0B7B"/>
    <w:rsid w:val="00BC5B6D"/>
    <w:rsid w:val="00BC7E8C"/>
    <w:rsid w:val="00BD02F9"/>
    <w:rsid w:val="00BD51B8"/>
    <w:rsid w:val="00BD6690"/>
    <w:rsid w:val="00BE1CB8"/>
    <w:rsid w:val="00BE6296"/>
    <w:rsid w:val="00C001CB"/>
    <w:rsid w:val="00C04A2F"/>
    <w:rsid w:val="00C145CE"/>
    <w:rsid w:val="00C16BE1"/>
    <w:rsid w:val="00C1746E"/>
    <w:rsid w:val="00C352CB"/>
    <w:rsid w:val="00C72E32"/>
    <w:rsid w:val="00C75485"/>
    <w:rsid w:val="00C91261"/>
    <w:rsid w:val="00CA0FBF"/>
    <w:rsid w:val="00CB0155"/>
    <w:rsid w:val="00CB3F97"/>
    <w:rsid w:val="00CB4BBA"/>
    <w:rsid w:val="00CB5585"/>
    <w:rsid w:val="00CC168B"/>
    <w:rsid w:val="00CE4F71"/>
    <w:rsid w:val="00CF3745"/>
    <w:rsid w:val="00D005CD"/>
    <w:rsid w:val="00D03EA1"/>
    <w:rsid w:val="00D15D51"/>
    <w:rsid w:val="00D21DB0"/>
    <w:rsid w:val="00D2566C"/>
    <w:rsid w:val="00D43C44"/>
    <w:rsid w:val="00D44EE1"/>
    <w:rsid w:val="00D60F2C"/>
    <w:rsid w:val="00D62BE3"/>
    <w:rsid w:val="00D74B3E"/>
    <w:rsid w:val="00D752BB"/>
    <w:rsid w:val="00D83BDC"/>
    <w:rsid w:val="00D950B8"/>
    <w:rsid w:val="00DA5985"/>
    <w:rsid w:val="00DB0752"/>
    <w:rsid w:val="00DC414D"/>
    <w:rsid w:val="00DC7D5B"/>
    <w:rsid w:val="00DC7E83"/>
    <w:rsid w:val="00DE18DA"/>
    <w:rsid w:val="00DF3F03"/>
    <w:rsid w:val="00E00771"/>
    <w:rsid w:val="00E041E6"/>
    <w:rsid w:val="00E12C77"/>
    <w:rsid w:val="00E23C8B"/>
    <w:rsid w:val="00E31888"/>
    <w:rsid w:val="00E33A01"/>
    <w:rsid w:val="00E3465F"/>
    <w:rsid w:val="00E40222"/>
    <w:rsid w:val="00E50BEA"/>
    <w:rsid w:val="00E5341F"/>
    <w:rsid w:val="00E572A3"/>
    <w:rsid w:val="00E656CE"/>
    <w:rsid w:val="00E7233D"/>
    <w:rsid w:val="00E7491F"/>
    <w:rsid w:val="00E87143"/>
    <w:rsid w:val="00E934DF"/>
    <w:rsid w:val="00EA63B6"/>
    <w:rsid w:val="00ED0CF4"/>
    <w:rsid w:val="00ED3F1B"/>
    <w:rsid w:val="00F01448"/>
    <w:rsid w:val="00F13CBE"/>
    <w:rsid w:val="00F24C63"/>
    <w:rsid w:val="00F2724B"/>
    <w:rsid w:val="00F2784F"/>
    <w:rsid w:val="00F41EF5"/>
    <w:rsid w:val="00F52A16"/>
    <w:rsid w:val="00F74F21"/>
    <w:rsid w:val="00F76ECD"/>
    <w:rsid w:val="00F870C6"/>
    <w:rsid w:val="00F908D3"/>
    <w:rsid w:val="00F91F8F"/>
    <w:rsid w:val="00F95F15"/>
    <w:rsid w:val="00F966EC"/>
    <w:rsid w:val="00F97D53"/>
    <w:rsid w:val="00FA4506"/>
    <w:rsid w:val="00FA6755"/>
    <w:rsid w:val="00FA71D7"/>
    <w:rsid w:val="00FB4BAC"/>
    <w:rsid w:val="00FC0DB5"/>
    <w:rsid w:val="00FC781D"/>
    <w:rsid w:val="00FD5B51"/>
    <w:rsid w:val="00FE0B5F"/>
    <w:rsid w:val="00FE1D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0D07"/>
  <w15:chartTrackingRefBased/>
  <w15:docId w15:val="{A244A333-AEE4-4675-8C8F-E54258CE6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368"/>
    <w:pPr>
      <w:spacing w:after="0" w:line="240" w:lineRule="auto"/>
    </w:pPr>
    <w:rPr>
      <w:rFonts w:ascii="Times New Roman" w:eastAsia="PMingLiU" w:hAnsi="Times New Roman" w:cs="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84368"/>
    <w:pPr>
      <w:tabs>
        <w:tab w:val="center" w:pos="4513"/>
        <w:tab w:val="right" w:pos="9026"/>
      </w:tabs>
    </w:pPr>
  </w:style>
  <w:style w:type="character" w:customStyle="1" w:styleId="KopfzeileZchn">
    <w:name w:val="Kopfzeile Zchn"/>
    <w:basedOn w:val="Absatz-Standardschriftart"/>
    <w:link w:val="Kopfzeile"/>
    <w:uiPriority w:val="99"/>
    <w:rsid w:val="00984368"/>
  </w:style>
  <w:style w:type="paragraph" w:styleId="Fuzeile">
    <w:name w:val="footer"/>
    <w:basedOn w:val="Standard"/>
    <w:link w:val="FuzeileZchn"/>
    <w:uiPriority w:val="99"/>
    <w:unhideWhenUsed/>
    <w:rsid w:val="00984368"/>
    <w:pPr>
      <w:tabs>
        <w:tab w:val="center" w:pos="4513"/>
        <w:tab w:val="right" w:pos="9026"/>
      </w:tabs>
    </w:pPr>
  </w:style>
  <w:style w:type="character" w:customStyle="1" w:styleId="FuzeileZchn">
    <w:name w:val="Fußzeile Zchn"/>
    <w:basedOn w:val="Absatz-Standardschriftart"/>
    <w:link w:val="Fuzeile"/>
    <w:uiPriority w:val="99"/>
    <w:rsid w:val="00984368"/>
  </w:style>
  <w:style w:type="character" w:styleId="Kommentarzeichen">
    <w:name w:val="annotation reference"/>
    <w:basedOn w:val="Absatz-Standardschriftart"/>
    <w:uiPriority w:val="99"/>
    <w:semiHidden/>
    <w:unhideWhenUsed/>
    <w:rsid w:val="00984368"/>
    <w:rPr>
      <w:sz w:val="16"/>
      <w:szCs w:val="16"/>
    </w:rPr>
  </w:style>
  <w:style w:type="paragraph" w:styleId="Kommentartext">
    <w:name w:val="annotation text"/>
    <w:basedOn w:val="Standard"/>
    <w:link w:val="KommentartextZchn"/>
    <w:uiPriority w:val="99"/>
    <w:unhideWhenUsed/>
    <w:rsid w:val="00984368"/>
    <w:rPr>
      <w:sz w:val="20"/>
      <w:szCs w:val="20"/>
    </w:rPr>
  </w:style>
  <w:style w:type="character" w:customStyle="1" w:styleId="KommentartextZchn">
    <w:name w:val="Kommentartext Zchn"/>
    <w:basedOn w:val="Absatz-Standardschriftart"/>
    <w:link w:val="Kommentartext"/>
    <w:uiPriority w:val="99"/>
    <w:rsid w:val="00984368"/>
    <w:rPr>
      <w:rFonts w:ascii="Times New Roman" w:eastAsia="PMingLiU" w:hAnsi="Times New Roman" w:cs="Times New Roman"/>
      <w:kern w:val="0"/>
      <w:sz w:val="20"/>
      <w:szCs w:val="20"/>
      <w:lang w:val="de-DE"/>
      <w14:ligatures w14:val="none"/>
    </w:rPr>
  </w:style>
  <w:style w:type="paragraph" w:styleId="Kommentarthema">
    <w:name w:val="annotation subject"/>
    <w:basedOn w:val="Kommentartext"/>
    <w:next w:val="Kommentartext"/>
    <w:link w:val="KommentarthemaZchn"/>
    <w:uiPriority w:val="99"/>
    <w:semiHidden/>
    <w:unhideWhenUsed/>
    <w:rsid w:val="0099181E"/>
    <w:rPr>
      <w:b/>
      <w:bCs/>
    </w:rPr>
  </w:style>
  <w:style w:type="character" w:customStyle="1" w:styleId="KommentarthemaZchn">
    <w:name w:val="Kommentarthema Zchn"/>
    <w:basedOn w:val="KommentartextZchn"/>
    <w:link w:val="Kommentarthema"/>
    <w:uiPriority w:val="99"/>
    <w:semiHidden/>
    <w:rsid w:val="0099181E"/>
    <w:rPr>
      <w:rFonts w:ascii="Times New Roman" w:eastAsia="PMingLiU" w:hAnsi="Times New Roman" w:cs="Times New Roman"/>
      <w:b/>
      <w:bCs/>
      <w:kern w:val="0"/>
      <w:sz w:val="20"/>
      <w:szCs w:val="20"/>
      <w:lang w:val="de-DE"/>
      <w14:ligatures w14:val="none"/>
    </w:rPr>
  </w:style>
  <w:style w:type="paragraph" w:styleId="Listenabsatz">
    <w:name w:val="List Paragraph"/>
    <w:basedOn w:val="Standard"/>
    <w:uiPriority w:val="34"/>
    <w:qFormat/>
    <w:rsid w:val="008F7F21"/>
    <w:pPr>
      <w:ind w:left="720"/>
      <w:contextualSpacing/>
    </w:pPr>
  </w:style>
  <w:style w:type="paragraph" w:styleId="Funotentext">
    <w:name w:val="footnote text"/>
    <w:basedOn w:val="Standard"/>
    <w:link w:val="FunotentextZchn"/>
    <w:uiPriority w:val="99"/>
    <w:semiHidden/>
    <w:unhideWhenUsed/>
    <w:rsid w:val="00415EEE"/>
    <w:rPr>
      <w:sz w:val="20"/>
      <w:szCs w:val="20"/>
    </w:rPr>
  </w:style>
  <w:style w:type="character" w:customStyle="1" w:styleId="FunotentextZchn">
    <w:name w:val="Fußnotentext Zchn"/>
    <w:basedOn w:val="Absatz-Standardschriftart"/>
    <w:link w:val="Funotentext"/>
    <w:uiPriority w:val="99"/>
    <w:semiHidden/>
    <w:rsid w:val="00415EEE"/>
    <w:rPr>
      <w:rFonts w:ascii="Times New Roman" w:eastAsia="PMingLiU" w:hAnsi="Times New Roman" w:cs="Times New Roman"/>
      <w:kern w:val="0"/>
      <w:sz w:val="20"/>
      <w:szCs w:val="20"/>
      <w:lang w:val="de-DE"/>
      <w14:ligatures w14:val="none"/>
    </w:rPr>
  </w:style>
  <w:style w:type="character" w:styleId="Funotenzeichen">
    <w:name w:val="footnote reference"/>
    <w:basedOn w:val="Absatz-Standardschriftart"/>
    <w:uiPriority w:val="99"/>
    <w:semiHidden/>
    <w:unhideWhenUsed/>
    <w:rsid w:val="00415EEE"/>
    <w:rPr>
      <w:vertAlign w:val="superscript"/>
    </w:rPr>
  </w:style>
  <w:style w:type="paragraph" w:styleId="berarbeitung">
    <w:name w:val="Revision"/>
    <w:hidden/>
    <w:uiPriority w:val="99"/>
    <w:semiHidden/>
    <w:rsid w:val="008E1535"/>
    <w:pPr>
      <w:spacing w:after="0" w:line="240" w:lineRule="auto"/>
    </w:pPr>
    <w:rPr>
      <w:rFonts w:ascii="Times New Roman" w:eastAsia="PMingLiU" w:hAnsi="Times New Roman" w:cs="Times New Roman"/>
      <w:kern w:val="0"/>
      <w14:ligatures w14:val="none"/>
    </w:rPr>
  </w:style>
  <w:style w:type="paragraph" w:styleId="StandardWeb">
    <w:name w:val="Normal (Web)"/>
    <w:basedOn w:val="Standard"/>
    <w:uiPriority w:val="99"/>
    <w:semiHidden/>
    <w:unhideWhenUsed/>
    <w:rsid w:val="003D149E"/>
    <w:pPr>
      <w:spacing w:before="100" w:beforeAutospacing="1" w:after="100" w:afterAutospacing="1"/>
    </w:pPr>
    <w:rPr>
      <w:rFonts w:eastAsia="Times New Roman"/>
      <w:sz w:val="24"/>
      <w:szCs w:val="24"/>
      <w:lang w:eastAsia="fr-BE"/>
    </w:rPr>
  </w:style>
  <w:style w:type="character" w:styleId="Hyperlink">
    <w:name w:val="Hyperlink"/>
    <w:basedOn w:val="Absatz-Standardschriftart"/>
    <w:uiPriority w:val="99"/>
    <w:unhideWhenUsed/>
    <w:rsid w:val="00B4442F"/>
    <w:rPr>
      <w:color w:val="0563C1" w:themeColor="hyperlink"/>
      <w:u w:val="single"/>
    </w:rPr>
  </w:style>
  <w:style w:type="character" w:styleId="NichtaufgelsteErwhnung">
    <w:name w:val="Unresolved Mention"/>
    <w:basedOn w:val="Absatz-Standardschriftart"/>
    <w:uiPriority w:val="99"/>
    <w:semiHidden/>
    <w:unhideWhenUsed/>
    <w:rsid w:val="00B44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reg.be/fr" TargetMode="External"/><Relationship Id="rId1" Type="http://schemas.openxmlformats.org/officeDocument/2006/relationships/hyperlink" Target="https://wwww.cwap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699BE-B437-4C6D-B04C-74C36A9A8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2800</Words>
  <Characters>17644</Characters>
  <Application>Microsoft Office Word</Application>
  <DocSecurity>0</DocSecurity>
  <Lines>147</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Djabali Yasmina</dc:creator>
  <cp:keywords/>
  <dc:description/>
  <cp:lastModifiedBy>KM</cp:lastModifiedBy>
  <cp:revision>22</cp:revision>
  <dcterms:created xsi:type="dcterms:W3CDTF">2023-10-12T16:08:00Z</dcterms:created>
  <dcterms:modified xsi:type="dcterms:W3CDTF">2025-12-08T21:23:00Z</dcterms:modified>
</cp:coreProperties>
</file>