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96"/>
          <w14:ligatures w14:val="standardContextual"/>
          <w14:cntxtAlts/>
        </w:rPr>
      </w:sdtEndPr>
      <w:sdtContent>
        <w:p w:rsidR="00536987" w:rsidRDefault="00536987"/>
        <w:tbl>
          <w:tblPr>
            <w:tblStyle w:val="Grilledutableau"/>
            <w:tblW w:w="0" w:type="auto"/>
            <w:tblLook w:val="04A0" w:firstRow="1" w:lastRow="0" w:firstColumn="1" w:lastColumn="0" w:noHBand="0" w:noVBand="1"/>
          </w:tblPr>
          <w:tblGrid>
            <w:gridCol w:w="9807"/>
          </w:tblGrid>
          <w:tr w:rsidR="00536987" w:rsidTr="00536987">
            <w:tc>
              <w:tcPr>
                <w:tcW w:w="9947" w:type="dxa"/>
                <w:tcBorders>
                  <w:top w:val="nil"/>
                  <w:left w:val="nil"/>
                  <w:bottom w:val="nil"/>
                  <w:right w:val="nil"/>
                </w:tcBorders>
                <w:vAlign w:val="center"/>
              </w:tcPr>
              <w:p w:rsidR="00536987" w:rsidRDefault="00536987" w:rsidP="00536987">
                <w:pPr>
                  <w:pStyle w:val="Titre"/>
                  <w:jc w:val="center"/>
                  <w:rPr>
                    <w:sz w:val="96"/>
                  </w:rPr>
                </w:pPr>
                <w:r>
                  <w:rPr>
                    <w:rFonts w:ascii="Times New Roman" w:eastAsia="Times New Roman" w:hAnsi="Times New Roman" w:cs="Times New Roman"/>
                    <w:noProof/>
                    <w:color w:val="000000"/>
                    <w:sz w:val="27"/>
                    <w:szCs w:val="27"/>
                  </w:rPr>
                  <w:drawing>
                    <wp:inline distT="0" distB="0" distL="0" distR="0" wp14:anchorId="4B3EA252" wp14:editId="3CE5F2EB">
                      <wp:extent cx="2001328" cy="1589799"/>
                      <wp:effectExtent l="0" t="0" r="0" b="0"/>
                      <wp:docPr id="1" name="Image 3" descr="Description : Description : Description : Description : AI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AIE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98" cy="1593509"/>
                              </a:xfrm>
                              <a:prstGeom prst="rect">
                                <a:avLst/>
                              </a:prstGeom>
                              <a:noFill/>
                              <a:ln>
                                <a:noFill/>
                              </a:ln>
                            </pic:spPr>
                          </pic:pic>
                        </a:graphicData>
                      </a:graphic>
                    </wp:inline>
                  </w:drawing>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Association Intercommunale d'Electricité du Sud Hainaut</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Rue du commerce,</w:t>
                </w:r>
                <w:r>
                  <w:rPr>
                    <w:rFonts w:ascii="Times New Roman" w:eastAsia="Times New Roman" w:hAnsi="Times New Roman" w:cs="Times New Roman"/>
                    <w:noProof/>
                    <w:color w:val="2F5897" w:themeColor="text2"/>
                    <w:sz w:val="24"/>
                    <w:szCs w:val="15"/>
                  </w:rPr>
                  <w:t xml:space="preserve"> </w:t>
                </w:r>
                <w:r w:rsidRPr="00536987">
                  <w:rPr>
                    <w:rFonts w:ascii="Times New Roman" w:eastAsia="Times New Roman" w:hAnsi="Times New Roman" w:cs="Times New Roman"/>
                    <w:noProof/>
                    <w:color w:val="2F5897" w:themeColor="text2"/>
                    <w:sz w:val="24"/>
                    <w:szCs w:val="15"/>
                  </w:rPr>
                  <w:t>4</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6470 –</w:t>
                </w:r>
                <w:r>
                  <w:rPr>
                    <w:rFonts w:ascii="Times New Roman" w:eastAsia="Times New Roman" w:hAnsi="Times New Roman" w:cs="Times New Roman"/>
                    <w:noProof/>
                    <w:color w:val="2F5897" w:themeColor="text2"/>
                    <w:sz w:val="24"/>
                    <w:szCs w:val="15"/>
                  </w:rPr>
                  <w:t xml:space="preserve"> Rance</w:t>
                </w:r>
                <w:r w:rsidRPr="00536987">
                  <w:rPr>
                    <w:rFonts w:ascii="Times New Roman" w:eastAsia="Times New Roman" w:hAnsi="Times New Roman" w:cs="Times New Roman"/>
                    <w:noProof/>
                    <w:color w:val="2F5897" w:themeColor="text2"/>
                    <w:sz w:val="24"/>
                    <w:szCs w:val="15"/>
                  </w:rPr>
                  <w:t>, Belgique</w:t>
                </w:r>
              </w:p>
              <w:p w:rsidR="00536987" w:rsidRPr="00536987" w:rsidRDefault="00536987" w:rsidP="00536987">
                <w:pPr>
                  <w:jc w:val="center"/>
                  <w:rPr>
                    <w:rFonts w:ascii="Times New Roman" w:eastAsia="Times New Roman" w:hAnsi="Times New Roman" w:cs="Times New Roman"/>
                    <w:noProof/>
                    <w:color w:val="3366FF"/>
                    <w:sz w:val="24"/>
                    <w:szCs w:val="15"/>
                  </w:rPr>
                </w:pPr>
                <w:r w:rsidRPr="00536987">
                  <w:rPr>
                    <w:rFonts w:ascii="Times New Roman" w:eastAsia="Times New Roman" w:hAnsi="Times New Roman" w:cs="Times New Roman"/>
                    <w:noProof/>
                    <w:color w:val="2F5897" w:themeColor="text2"/>
                    <w:sz w:val="24"/>
                    <w:szCs w:val="15"/>
                  </w:rPr>
                  <w:t>www.aiesh.be</w:t>
                </w:r>
              </w:p>
            </w:tc>
          </w:tr>
        </w:tbl>
        <w:p w:rsidR="003F24F1" w:rsidRDefault="003F24F1"/>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022"/>
          </w:tblGrid>
          <w:tr w:rsidR="003F24F1">
            <w:tc>
              <w:tcPr>
                <w:tcW w:w="9576" w:type="dxa"/>
              </w:tcPr>
              <w:sdt>
                <w:sdtPr>
                  <w:rPr>
                    <w:sz w:val="72"/>
                  </w:rPr>
                  <w:alias w:val="Titre"/>
                  <w:id w:val="-308007970"/>
                  <w:dataBinding w:prefixMappings="xmlns:ns0='http://schemas.openxmlformats.org/package/2006/metadata/core-properties' xmlns:ns1='http://purl.org/dc/elements/1.1/'" w:xpath="/ns0:coreProperties[1]/ns1:title[1]" w:storeItemID="{6C3C8BC8-F283-45AE-878A-BAB7291924A1}"/>
                  <w:text/>
                </w:sdtPr>
                <w:sdtEndPr/>
                <w:sdtContent>
                  <w:p w:rsidR="003F24F1" w:rsidRDefault="00C4710B" w:rsidP="00F205DA">
                    <w:pPr>
                      <w:pStyle w:val="Titre"/>
                      <w:jc w:val="center"/>
                      <w:rPr>
                        <w:sz w:val="96"/>
                      </w:rPr>
                    </w:pPr>
                    <w:r>
                      <w:rPr>
                        <w:sz w:val="72"/>
                      </w:rPr>
                      <w:t>Tarifs non-périodique</w:t>
                    </w:r>
                    <w:r w:rsidR="00F75CFF">
                      <w:rPr>
                        <w:sz w:val="72"/>
                      </w:rPr>
                      <w:t xml:space="preserve"> </w:t>
                    </w:r>
                    <w:r w:rsidR="006C7543">
                      <w:rPr>
                        <w:sz w:val="72"/>
                      </w:rPr>
                      <w:t>2020</w:t>
                    </w:r>
                  </w:p>
                </w:sdtContent>
              </w:sdt>
            </w:tc>
          </w:tr>
          <w:tr w:rsidR="003F24F1">
            <w:tc>
              <w:tcPr>
                <w:tcW w:w="0" w:type="auto"/>
                <w:vAlign w:val="bottom"/>
              </w:tcPr>
              <w:sdt>
                <w:sdtPr>
                  <w:rPr>
                    <w:sz w:val="36"/>
                    <w:szCs w:val="36"/>
                  </w:rPr>
                  <w:alias w:val="Sous-titre"/>
                  <w:id w:val="758173203"/>
                  <w:showingPlcHdr/>
                  <w:dataBinding w:prefixMappings="xmlns:ns0='http://schemas.openxmlformats.org/package/2006/metadata/core-properties' xmlns:ns1='http://purl.org/dc/elements/1.1/'" w:xpath="/ns0:coreProperties[1]/ns1:subject[1]" w:storeItemID="{6C3C8BC8-F283-45AE-878A-BAB7291924A1}"/>
                  <w:text/>
                </w:sdtPr>
                <w:sdtEndPr/>
                <w:sdtContent>
                  <w:p w:rsidR="003F24F1" w:rsidRDefault="00BE5245" w:rsidP="00BE5245">
                    <w:pPr>
                      <w:pStyle w:val="Sous-titre"/>
                      <w:jc w:val="center"/>
                      <w:rPr>
                        <w:sz w:val="36"/>
                        <w:szCs w:val="36"/>
                      </w:rPr>
                    </w:pPr>
                    <w:r>
                      <w:rPr>
                        <w:sz w:val="36"/>
                        <w:szCs w:val="36"/>
                      </w:rPr>
                      <w:t xml:space="preserve">     </w:t>
                    </w:r>
                  </w:p>
                </w:sdtContent>
              </w:sdt>
            </w:tc>
          </w:tr>
          <w:tr w:rsidR="003F24F1">
            <w:tc>
              <w:tcPr>
                <w:tcW w:w="0" w:type="auto"/>
                <w:vAlign w:val="bottom"/>
              </w:tcPr>
              <w:p w:rsidR="003F24F1" w:rsidRDefault="003F24F1"/>
            </w:tc>
          </w:tr>
          <w:tr w:rsidR="003F24F1">
            <w:tc>
              <w:tcPr>
                <w:tcW w:w="0" w:type="auto"/>
                <w:vAlign w:val="bottom"/>
              </w:tcPr>
              <w:p w:rsidR="003F24F1" w:rsidRDefault="003F24F1" w:rsidP="003C59E7">
                <w:pPr>
                  <w:jc w:val="center"/>
                </w:pPr>
              </w:p>
            </w:tc>
          </w:tr>
          <w:tr w:rsidR="003F24F1">
            <w:tc>
              <w:tcPr>
                <w:tcW w:w="0" w:type="auto"/>
                <w:vAlign w:val="bottom"/>
              </w:tcPr>
              <w:p w:rsidR="003F24F1" w:rsidRDefault="003F24F1">
                <w:pPr>
                  <w:jc w:val="center"/>
                </w:pPr>
              </w:p>
            </w:tc>
          </w:tr>
        </w:tbl>
        <w:p w:rsidR="003F24F1" w:rsidRDefault="00D56A8D">
          <w:pPr>
            <w:rPr>
              <w:rFonts w:asciiTheme="majorHAnsi" w:eastAsiaTheme="majorEastAsia" w:hAnsiTheme="majorHAnsi" w:cstheme="majorBidi"/>
              <w:color w:val="2F5897" w:themeColor="text2"/>
              <w:spacing w:val="5"/>
              <w:kern w:val="28"/>
              <w:sz w:val="96"/>
              <w:szCs w:val="96"/>
              <w14:ligatures w14:val="standardContextual"/>
              <w14:cntxtAlts/>
            </w:rPr>
          </w:pPr>
          <w:r>
            <w:rPr>
              <w:rFonts w:asciiTheme="majorHAnsi" w:eastAsiaTheme="majorEastAsia" w:hAnsiTheme="majorHAnsi" w:cstheme="majorBidi"/>
              <w:color w:val="2F5897" w:themeColor="text2"/>
              <w:spacing w:val="5"/>
              <w:kern w:val="28"/>
              <w:sz w:val="96"/>
              <w:szCs w:val="96"/>
              <w14:ligatures w14:val="standardContextual"/>
              <w14:cntxtAlts/>
            </w:rPr>
            <w:br w:type="page"/>
          </w:r>
        </w:p>
      </w:sdtContent>
    </w:sdt>
    <w:p w:rsidR="005707AE" w:rsidRDefault="005707AE">
      <w:pPr>
        <w:sectPr w:rsidR="005707AE">
          <w:headerReference w:type="default" r:id="rId12"/>
          <w:footerReference w:type="even" r:id="rId13"/>
          <w:footerReference w:type="default" r:id="rId14"/>
          <w:pgSz w:w="11907" w:h="16839"/>
          <w:pgMar w:top="1440" w:right="1050" w:bottom="1440" w:left="1050" w:header="612" w:footer="459" w:gutter="0"/>
          <w:pgNumType w:start="0"/>
          <w:cols w:space="720"/>
          <w:titlePg/>
          <w:docGrid w:linePitch="360"/>
        </w:sectPr>
      </w:pPr>
    </w:p>
    <w:p w:rsidR="00536987" w:rsidRDefault="00536987"/>
    <w:sdt>
      <w:sdtPr>
        <w:rPr>
          <w:rFonts w:asciiTheme="minorHAnsi" w:eastAsiaTheme="minorEastAsia" w:hAnsiTheme="minorHAnsi" w:cstheme="minorBidi"/>
          <w:b w:val="0"/>
          <w:bCs w:val="0"/>
          <w:color w:val="auto"/>
          <w:sz w:val="22"/>
          <w:szCs w:val="22"/>
          <w:lang w:val="fr-FR"/>
        </w:rPr>
        <w:id w:val="429473217"/>
        <w:docPartObj>
          <w:docPartGallery w:val="Table of Contents"/>
          <w:docPartUnique/>
        </w:docPartObj>
      </w:sdtPr>
      <w:sdtEndPr/>
      <w:sdtContent>
        <w:p w:rsidR="005707AE" w:rsidRDefault="005707AE">
          <w:pPr>
            <w:pStyle w:val="En-ttedetabledesmatires"/>
          </w:pPr>
          <w:r>
            <w:rPr>
              <w:lang w:val="fr-FR"/>
            </w:rPr>
            <w:t>Table des matières</w:t>
          </w:r>
        </w:p>
        <w:p w:rsidR="00066A74" w:rsidRDefault="00441502">
          <w:pPr>
            <w:pStyle w:val="TM1"/>
            <w:tabs>
              <w:tab w:val="left" w:pos="440"/>
              <w:tab w:val="right" w:leader="dot" w:pos="9797"/>
            </w:tabs>
            <w:rPr>
              <w:noProof/>
            </w:rPr>
          </w:pPr>
          <w:r>
            <w:fldChar w:fldCharType="begin"/>
          </w:r>
          <w:r>
            <w:instrText xml:space="preserve"> TOC \o "1-2" \h \z \u </w:instrText>
          </w:r>
          <w:r>
            <w:fldChar w:fldCharType="separate"/>
          </w:r>
          <w:hyperlink w:anchor="_Toc524081173" w:history="1">
            <w:r w:rsidR="00066A74" w:rsidRPr="0037770A">
              <w:rPr>
                <w:rStyle w:val="Lienhypertexte"/>
                <w:noProof/>
              </w:rPr>
              <w:t>1.</w:t>
            </w:r>
            <w:r w:rsidR="00066A74">
              <w:rPr>
                <w:noProof/>
              </w:rPr>
              <w:tab/>
            </w:r>
            <w:r w:rsidR="00066A74" w:rsidRPr="0037770A">
              <w:rPr>
                <w:rStyle w:val="Lienhypertexte"/>
                <w:noProof/>
              </w:rPr>
              <w:t>Raccordement</w:t>
            </w:r>
            <w:r w:rsidR="00066A74">
              <w:rPr>
                <w:noProof/>
                <w:webHidden/>
              </w:rPr>
              <w:tab/>
            </w:r>
            <w:r w:rsidR="00066A74">
              <w:rPr>
                <w:noProof/>
                <w:webHidden/>
              </w:rPr>
              <w:fldChar w:fldCharType="begin"/>
            </w:r>
            <w:r w:rsidR="00066A74">
              <w:rPr>
                <w:noProof/>
                <w:webHidden/>
              </w:rPr>
              <w:instrText xml:space="preserve"> PAGEREF _Toc524081173 \h </w:instrText>
            </w:r>
            <w:r w:rsidR="00066A74">
              <w:rPr>
                <w:noProof/>
                <w:webHidden/>
              </w:rPr>
            </w:r>
            <w:r w:rsidR="00066A74">
              <w:rPr>
                <w:noProof/>
                <w:webHidden/>
              </w:rPr>
              <w:fldChar w:fldCharType="separate"/>
            </w:r>
            <w:r w:rsidR="00066A74">
              <w:rPr>
                <w:noProof/>
                <w:webHidden/>
              </w:rPr>
              <w:t>2</w:t>
            </w:r>
            <w:r w:rsidR="00066A74">
              <w:rPr>
                <w:noProof/>
                <w:webHidden/>
              </w:rPr>
              <w:fldChar w:fldCharType="end"/>
            </w:r>
          </w:hyperlink>
        </w:p>
        <w:p w:rsidR="00066A74" w:rsidRDefault="00AD4BE6">
          <w:pPr>
            <w:pStyle w:val="TM2"/>
            <w:tabs>
              <w:tab w:val="left" w:pos="880"/>
              <w:tab w:val="right" w:leader="dot" w:pos="9797"/>
            </w:tabs>
            <w:rPr>
              <w:noProof/>
            </w:rPr>
          </w:pPr>
          <w:hyperlink w:anchor="_Toc524081174" w:history="1">
            <w:r w:rsidR="00066A74" w:rsidRPr="0037770A">
              <w:rPr>
                <w:rStyle w:val="Lienhypertexte"/>
                <w:noProof/>
              </w:rPr>
              <w:t>1.1.</w:t>
            </w:r>
            <w:r w:rsidR="00066A74">
              <w:rPr>
                <w:noProof/>
              </w:rPr>
              <w:tab/>
            </w:r>
            <w:r w:rsidR="00066A74" w:rsidRPr="0037770A">
              <w:rPr>
                <w:rStyle w:val="Lienhypertexte"/>
                <w:noProof/>
              </w:rPr>
              <w:t>Raccordement BT</w:t>
            </w:r>
            <w:r w:rsidR="00066A74">
              <w:rPr>
                <w:noProof/>
                <w:webHidden/>
              </w:rPr>
              <w:tab/>
            </w:r>
            <w:r w:rsidR="00066A74">
              <w:rPr>
                <w:noProof/>
                <w:webHidden/>
              </w:rPr>
              <w:fldChar w:fldCharType="begin"/>
            </w:r>
            <w:r w:rsidR="00066A74">
              <w:rPr>
                <w:noProof/>
                <w:webHidden/>
              </w:rPr>
              <w:instrText xml:space="preserve"> PAGEREF _Toc524081174 \h </w:instrText>
            </w:r>
            <w:r w:rsidR="00066A74">
              <w:rPr>
                <w:noProof/>
                <w:webHidden/>
              </w:rPr>
            </w:r>
            <w:r w:rsidR="00066A74">
              <w:rPr>
                <w:noProof/>
                <w:webHidden/>
              </w:rPr>
              <w:fldChar w:fldCharType="separate"/>
            </w:r>
            <w:r w:rsidR="00066A74">
              <w:rPr>
                <w:noProof/>
                <w:webHidden/>
              </w:rPr>
              <w:t>2</w:t>
            </w:r>
            <w:r w:rsidR="00066A74">
              <w:rPr>
                <w:noProof/>
                <w:webHidden/>
              </w:rPr>
              <w:fldChar w:fldCharType="end"/>
            </w:r>
          </w:hyperlink>
        </w:p>
        <w:p w:rsidR="00066A74" w:rsidRDefault="00AD4BE6">
          <w:pPr>
            <w:pStyle w:val="TM2"/>
            <w:tabs>
              <w:tab w:val="left" w:pos="880"/>
              <w:tab w:val="right" w:leader="dot" w:pos="9797"/>
            </w:tabs>
            <w:rPr>
              <w:noProof/>
            </w:rPr>
          </w:pPr>
          <w:hyperlink w:anchor="_Toc524081175" w:history="1">
            <w:r w:rsidR="00066A74" w:rsidRPr="0037770A">
              <w:rPr>
                <w:rStyle w:val="Lienhypertexte"/>
                <w:noProof/>
              </w:rPr>
              <w:t>1.2.</w:t>
            </w:r>
            <w:r w:rsidR="00066A74">
              <w:rPr>
                <w:noProof/>
              </w:rPr>
              <w:tab/>
            </w:r>
            <w:r w:rsidR="00066A74" w:rsidRPr="0037770A">
              <w:rPr>
                <w:rStyle w:val="Lienhypertexte"/>
                <w:noProof/>
              </w:rPr>
              <w:t>Raccordement BT provisoire</w:t>
            </w:r>
            <w:r w:rsidR="00066A74">
              <w:rPr>
                <w:noProof/>
                <w:webHidden/>
              </w:rPr>
              <w:tab/>
            </w:r>
            <w:r w:rsidR="00066A74">
              <w:rPr>
                <w:noProof/>
                <w:webHidden/>
              </w:rPr>
              <w:fldChar w:fldCharType="begin"/>
            </w:r>
            <w:r w:rsidR="00066A74">
              <w:rPr>
                <w:noProof/>
                <w:webHidden/>
              </w:rPr>
              <w:instrText xml:space="preserve"> PAGEREF _Toc524081175 \h </w:instrText>
            </w:r>
            <w:r w:rsidR="00066A74">
              <w:rPr>
                <w:noProof/>
                <w:webHidden/>
              </w:rPr>
            </w:r>
            <w:r w:rsidR="00066A74">
              <w:rPr>
                <w:noProof/>
                <w:webHidden/>
              </w:rPr>
              <w:fldChar w:fldCharType="separate"/>
            </w:r>
            <w:r w:rsidR="00066A74">
              <w:rPr>
                <w:noProof/>
                <w:webHidden/>
              </w:rPr>
              <w:t>7</w:t>
            </w:r>
            <w:r w:rsidR="00066A74">
              <w:rPr>
                <w:noProof/>
                <w:webHidden/>
              </w:rPr>
              <w:fldChar w:fldCharType="end"/>
            </w:r>
          </w:hyperlink>
        </w:p>
        <w:p w:rsidR="00066A74" w:rsidRDefault="00AD4BE6">
          <w:pPr>
            <w:pStyle w:val="TM2"/>
            <w:tabs>
              <w:tab w:val="left" w:pos="880"/>
              <w:tab w:val="right" w:leader="dot" w:pos="9797"/>
            </w:tabs>
            <w:rPr>
              <w:noProof/>
            </w:rPr>
          </w:pPr>
          <w:hyperlink w:anchor="_Toc524081176" w:history="1">
            <w:r w:rsidR="00066A74" w:rsidRPr="0037770A">
              <w:rPr>
                <w:rStyle w:val="Lienhypertexte"/>
                <w:noProof/>
              </w:rPr>
              <w:t>1.3.</w:t>
            </w:r>
            <w:r w:rsidR="00066A74">
              <w:rPr>
                <w:noProof/>
              </w:rPr>
              <w:tab/>
            </w:r>
            <w:r w:rsidR="00066A74" w:rsidRPr="0037770A">
              <w:rPr>
                <w:rStyle w:val="Lienhypertexte"/>
                <w:noProof/>
              </w:rPr>
              <w:t>Viabilisation de terrain</w:t>
            </w:r>
            <w:r w:rsidR="00066A74">
              <w:rPr>
                <w:noProof/>
                <w:webHidden/>
              </w:rPr>
              <w:tab/>
            </w:r>
            <w:r w:rsidR="00066A74">
              <w:rPr>
                <w:noProof/>
                <w:webHidden/>
              </w:rPr>
              <w:fldChar w:fldCharType="begin"/>
            </w:r>
            <w:r w:rsidR="00066A74">
              <w:rPr>
                <w:noProof/>
                <w:webHidden/>
              </w:rPr>
              <w:instrText xml:space="preserve"> PAGEREF _Toc524081176 \h </w:instrText>
            </w:r>
            <w:r w:rsidR="00066A74">
              <w:rPr>
                <w:noProof/>
                <w:webHidden/>
              </w:rPr>
            </w:r>
            <w:r w:rsidR="00066A74">
              <w:rPr>
                <w:noProof/>
                <w:webHidden/>
              </w:rPr>
              <w:fldChar w:fldCharType="separate"/>
            </w:r>
            <w:r w:rsidR="00066A74">
              <w:rPr>
                <w:noProof/>
                <w:webHidden/>
              </w:rPr>
              <w:t>9</w:t>
            </w:r>
            <w:r w:rsidR="00066A74">
              <w:rPr>
                <w:noProof/>
                <w:webHidden/>
              </w:rPr>
              <w:fldChar w:fldCharType="end"/>
            </w:r>
          </w:hyperlink>
        </w:p>
        <w:p w:rsidR="00066A74" w:rsidRDefault="00AD4BE6">
          <w:pPr>
            <w:pStyle w:val="TM2"/>
            <w:tabs>
              <w:tab w:val="left" w:pos="880"/>
              <w:tab w:val="right" w:leader="dot" w:pos="9797"/>
            </w:tabs>
            <w:rPr>
              <w:noProof/>
            </w:rPr>
          </w:pPr>
          <w:hyperlink w:anchor="_Toc524081177" w:history="1">
            <w:r w:rsidR="00066A74" w:rsidRPr="0037770A">
              <w:rPr>
                <w:rStyle w:val="Lienhypertexte"/>
                <w:noProof/>
              </w:rPr>
              <w:t>1.4.</w:t>
            </w:r>
            <w:r w:rsidR="00066A74">
              <w:rPr>
                <w:noProof/>
              </w:rPr>
              <w:tab/>
            </w:r>
            <w:r w:rsidR="00066A74" w:rsidRPr="0037770A">
              <w:rPr>
                <w:rStyle w:val="Lienhypertexte"/>
                <w:noProof/>
              </w:rPr>
              <w:t>Raccordement TransBT</w:t>
            </w:r>
            <w:r w:rsidR="00066A74">
              <w:rPr>
                <w:noProof/>
                <w:webHidden/>
              </w:rPr>
              <w:tab/>
            </w:r>
            <w:r w:rsidR="00066A74">
              <w:rPr>
                <w:noProof/>
                <w:webHidden/>
              </w:rPr>
              <w:fldChar w:fldCharType="begin"/>
            </w:r>
            <w:r w:rsidR="00066A74">
              <w:rPr>
                <w:noProof/>
                <w:webHidden/>
              </w:rPr>
              <w:instrText xml:space="preserve"> PAGEREF _Toc524081177 \h </w:instrText>
            </w:r>
            <w:r w:rsidR="00066A74">
              <w:rPr>
                <w:noProof/>
                <w:webHidden/>
              </w:rPr>
            </w:r>
            <w:r w:rsidR="00066A74">
              <w:rPr>
                <w:noProof/>
                <w:webHidden/>
              </w:rPr>
              <w:fldChar w:fldCharType="separate"/>
            </w:r>
            <w:r w:rsidR="00066A74">
              <w:rPr>
                <w:noProof/>
                <w:webHidden/>
              </w:rPr>
              <w:t>11</w:t>
            </w:r>
            <w:r w:rsidR="00066A74">
              <w:rPr>
                <w:noProof/>
                <w:webHidden/>
              </w:rPr>
              <w:fldChar w:fldCharType="end"/>
            </w:r>
          </w:hyperlink>
        </w:p>
        <w:p w:rsidR="00066A74" w:rsidRDefault="00AD4BE6">
          <w:pPr>
            <w:pStyle w:val="TM2"/>
            <w:tabs>
              <w:tab w:val="left" w:pos="880"/>
              <w:tab w:val="right" w:leader="dot" w:pos="9797"/>
            </w:tabs>
            <w:rPr>
              <w:noProof/>
            </w:rPr>
          </w:pPr>
          <w:hyperlink w:anchor="_Toc524081178" w:history="1">
            <w:r w:rsidR="00066A74" w:rsidRPr="0037770A">
              <w:rPr>
                <w:rStyle w:val="Lienhypertexte"/>
                <w:noProof/>
              </w:rPr>
              <w:t>1.5.</w:t>
            </w:r>
            <w:r w:rsidR="00066A74">
              <w:rPr>
                <w:noProof/>
              </w:rPr>
              <w:tab/>
            </w:r>
            <w:r w:rsidR="00066A74" w:rsidRPr="0037770A">
              <w:rPr>
                <w:rStyle w:val="Lienhypertexte"/>
                <w:noProof/>
              </w:rPr>
              <w:t>Raccordement MT jusqu’à 5 MVA</w:t>
            </w:r>
            <w:r w:rsidR="00066A74">
              <w:rPr>
                <w:noProof/>
                <w:webHidden/>
              </w:rPr>
              <w:tab/>
            </w:r>
            <w:r w:rsidR="00066A74">
              <w:rPr>
                <w:noProof/>
                <w:webHidden/>
              </w:rPr>
              <w:fldChar w:fldCharType="begin"/>
            </w:r>
            <w:r w:rsidR="00066A74">
              <w:rPr>
                <w:noProof/>
                <w:webHidden/>
              </w:rPr>
              <w:instrText xml:space="preserve"> PAGEREF _Toc524081178 \h </w:instrText>
            </w:r>
            <w:r w:rsidR="00066A74">
              <w:rPr>
                <w:noProof/>
                <w:webHidden/>
              </w:rPr>
            </w:r>
            <w:r w:rsidR="00066A74">
              <w:rPr>
                <w:noProof/>
                <w:webHidden/>
              </w:rPr>
              <w:fldChar w:fldCharType="separate"/>
            </w:r>
            <w:r w:rsidR="00066A74">
              <w:rPr>
                <w:noProof/>
                <w:webHidden/>
              </w:rPr>
              <w:t>15</w:t>
            </w:r>
            <w:r w:rsidR="00066A74">
              <w:rPr>
                <w:noProof/>
                <w:webHidden/>
              </w:rPr>
              <w:fldChar w:fldCharType="end"/>
            </w:r>
          </w:hyperlink>
        </w:p>
        <w:p w:rsidR="00066A74" w:rsidRDefault="00AD4BE6">
          <w:pPr>
            <w:pStyle w:val="TM2"/>
            <w:tabs>
              <w:tab w:val="left" w:pos="880"/>
              <w:tab w:val="right" w:leader="dot" w:pos="9797"/>
            </w:tabs>
            <w:rPr>
              <w:noProof/>
            </w:rPr>
          </w:pPr>
          <w:hyperlink w:anchor="_Toc524081179" w:history="1">
            <w:r w:rsidR="00066A74" w:rsidRPr="0037770A">
              <w:rPr>
                <w:rStyle w:val="Lienhypertexte"/>
                <w:noProof/>
              </w:rPr>
              <w:t>1.6.</w:t>
            </w:r>
            <w:r w:rsidR="00066A74">
              <w:rPr>
                <w:noProof/>
              </w:rPr>
              <w:tab/>
            </w:r>
            <w:r w:rsidR="00066A74" w:rsidRPr="0037770A">
              <w:rPr>
                <w:rStyle w:val="Lienhypertexte"/>
                <w:noProof/>
              </w:rPr>
              <w:t>Raccordement TransMT jusqu’à 25 MVA</w:t>
            </w:r>
            <w:r w:rsidR="00066A74">
              <w:rPr>
                <w:noProof/>
                <w:webHidden/>
              </w:rPr>
              <w:tab/>
            </w:r>
            <w:r w:rsidR="00066A74">
              <w:rPr>
                <w:noProof/>
                <w:webHidden/>
              </w:rPr>
              <w:fldChar w:fldCharType="begin"/>
            </w:r>
            <w:r w:rsidR="00066A74">
              <w:rPr>
                <w:noProof/>
                <w:webHidden/>
              </w:rPr>
              <w:instrText xml:space="preserve"> PAGEREF _Toc524081179 \h </w:instrText>
            </w:r>
            <w:r w:rsidR="00066A74">
              <w:rPr>
                <w:noProof/>
                <w:webHidden/>
              </w:rPr>
            </w:r>
            <w:r w:rsidR="00066A74">
              <w:rPr>
                <w:noProof/>
                <w:webHidden/>
              </w:rPr>
              <w:fldChar w:fldCharType="separate"/>
            </w:r>
            <w:r w:rsidR="00066A74">
              <w:rPr>
                <w:noProof/>
                <w:webHidden/>
              </w:rPr>
              <w:t>19</w:t>
            </w:r>
            <w:r w:rsidR="00066A74">
              <w:rPr>
                <w:noProof/>
                <w:webHidden/>
              </w:rPr>
              <w:fldChar w:fldCharType="end"/>
            </w:r>
          </w:hyperlink>
        </w:p>
        <w:p w:rsidR="00066A74" w:rsidRDefault="00AD4BE6">
          <w:pPr>
            <w:pStyle w:val="TM2"/>
            <w:tabs>
              <w:tab w:val="left" w:pos="880"/>
              <w:tab w:val="right" w:leader="dot" w:pos="9797"/>
            </w:tabs>
            <w:rPr>
              <w:noProof/>
            </w:rPr>
          </w:pPr>
          <w:hyperlink w:anchor="_Toc524081180" w:history="1">
            <w:r w:rsidR="00066A74" w:rsidRPr="0037770A">
              <w:rPr>
                <w:rStyle w:val="Lienhypertexte"/>
                <w:noProof/>
              </w:rPr>
              <w:t>1.7.</w:t>
            </w:r>
            <w:r w:rsidR="00066A74">
              <w:rPr>
                <w:noProof/>
              </w:rPr>
              <w:tab/>
            </w:r>
            <w:r w:rsidR="00066A74" w:rsidRPr="0037770A">
              <w:rPr>
                <w:rStyle w:val="Lienhypertexte"/>
                <w:noProof/>
              </w:rPr>
              <w:t>Raccordement HT</w:t>
            </w:r>
            <w:r w:rsidR="00066A74">
              <w:rPr>
                <w:noProof/>
                <w:webHidden/>
              </w:rPr>
              <w:tab/>
            </w:r>
            <w:r w:rsidR="00066A74">
              <w:rPr>
                <w:noProof/>
                <w:webHidden/>
              </w:rPr>
              <w:fldChar w:fldCharType="begin"/>
            </w:r>
            <w:r w:rsidR="00066A74">
              <w:rPr>
                <w:noProof/>
                <w:webHidden/>
              </w:rPr>
              <w:instrText xml:space="preserve"> PAGEREF _Toc524081180 \h </w:instrText>
            </w:r>
            <w:r w:rsidR="00066A74">
              <w:rPr>
                <w:noProof/>
                <w:webHidden/>
              </w:rPr>
            </w:r>
            <w:r w:rsidR="00066A74">
              <w:rPr>
                <w:noProof/>
                <w:webHidden/>
              </w:rPr>
              <w:fldChar w:fldCharType="separate"/>
            </w:r>
            <w:r w:rsidR="00066A74">
              <w:rPr>
                <w:noProof/>
                <w:webHidden/>
              </w:rPr>
              <w:t>22</w:t>
            </w:r>
            <w:r w:rsidR="00066A74">
              <w:rPr>
                <w:noProof/>
                <w:webHidden/>
              </w:rPr>
              <w:fldChar w:fldCharType="end"/>
            </w:r>
          </w:hyperlink>
        </w:p>
        <w:p w:rsidR="00066A74" w:rsidRDefault="00AD4BE6">
          <w:pPr>
            <w:pStyle w:val="TM1"/>
            <w:tabs>
              <w:tab w:val="left" w:pos="440"/>
              <w:tab w:val="right" w:leader="dot" w:pos="9797"/>
            </w:tabs>
            <w:rPr>
              <w:noProof/>
            </w:rPr>
          </w:pPr>
          <w:hyperlink w:anchor="_Toc524081181" w:history="1">
            <w:r w:rsidR="00066A74" w:rsidRPr="0037770A">
              <w:rPr>
                <w:rStyle w:val="Lienhypertexte"/>
                <w:noProof/>
              </w:rPr>
              <w:t>2.</w:t>
            </w:r>
            <w:r w:rsidR="00066A74">
              <w:rPr>
                <w:noProof/>
              </w:rPr>
              <w:tab/>
            </w:r>
            <w:r w:rsidR="00066A74" w:rsidRPr="0037770A">
              <w:rPr>
                <w:rStyle w:val="Lienhypertexte"/>
                <w:noProof/>
              </w:rPr>
              <w:t>E : Frais d’ouverture de dossier et d’Etude</w:t>
            </w:r>
            <w:r w:rsidR="00066A74">
              <w:rPr>
                <w:noProof/>
                <w:webHidden/>
              </w:rPr>
              <w:tab/>
            </w:r>
            <w:r w:rsidR="00066A74">
              <w:rPr>
                <w:noProof/>
                <w:webHidden/>
              </w:rPr>
              <w:fldChar w:fldCharType="begin"/>
            </w:r>
            <w:r w:rsidR="00066A74">
              <w:rPr>
                <w:noProof/>
                <w:webHidden/>
              </w:rPr>
              <w:instrText xml:space="preserve"> PAGEREF _Toc524081181 \h </w:instrText>
            </w:r>
            <w:r w:rsidR="00066A74">
              <w:rPr>
                <w:noProof/>
                <w:webHidden/>
              </w:rPr>
            </w:r>
            <w:r w:rsidR="00066A74">
              <w:rPr>
                <w:noProof/>
                <w:webHidden/>
              </w:rPr>
              <w:fldChar w:fldCharType="separate"/>
            </w:r>
            <w:r w:rsidR="00066A74">
              <w:rPr>
                <w:noProof/>
                <w:webHidden/>
              </w:rPr>
              <w:t>23</w:t>
            </w:r>
            <w:r w:rsidR="00066A74">
              <w:rPr>
                <w:noProof/>
                <w:webHidden/>
              </w:rPr>
              <w:fldChar w:fldCharType="end"/>
            </w:r>
          </w:hyperlink>
        </w:p>
        <w:p w:rsidR="00066A74" w:rsidRDefault="00AD4BE6">
          <w:pPr>
            <w:pStyle w:val="TM1"/>
            <w:tabs>
              <w:tab w:val="left" w:pos="440"/>
              <w:tab w:val="right" w:leader="dot" w:pos="9797"/>
            </w:tabs>
            <w:rPr>
              <w:noProof/>
            </w:rPr>
          </w:pPr>
          <w:hyperlink w:anchor="_Toc524081182" w:history="1">
            <w:r w:rsidR="00066A74" w:rsidRPr="0037770A">
              <w:rPr>
                <w:rStyle w:val="Lienhypertexte"/>
                <w:noProof/>
              </w:rPr>
              <w:t>3.</w:t>
            </w:r>
            <w:r w:rsidR="00066A74">
              <w:rPr>
                <w:noProof/>
              </w:rPr>
              <w:tab/>
            </w:r>
            <w:r w:rsidR="00066A74" w:rsidRPr="0037770A">
              <w:rPr>
                <w:rStyle w:val="Lienhypertexte"/>
                <w:noProof/>
              </w:rPr>
              <w:t>Prestations diverses</w:t>
            </w:r>
            <w:r w:rsidR="00066A74">
              <w:rPr>
                <w:noProof/>
                <w:webHidden/>
              </w:rPr>
              <w:tab/>
            </w:r>
            <w:r w:rsidR="00066A74">
              <w:rPr>
                <w:noProof/>
                <w:webHidden/>
              </w:rPr>
              <w:fldChar w:fldCharType="begin"/>
            </w:r>
            <w:r w:rsidR="00066A74">
              <w:rPr>
                <w:noProof/>
                <w:webHidden/>
              </w:rPr>
              <w:instrText xml:space="preserve"> PAGEREF _Toc524081182 \h </w:instrText>
            </w:r>
            <w:r w:rsidR="00066A74">
              <w:rPr>
                <w:noProof/>
                <w:webHidden/>
              </w:rPr>
            </w:r>
            <w:r w:rsidR="00066A74">
              <w:rPr>
                <w:noProof/>
                <w:webHidden/>
              </w:rPr>
              <w:fldChar w:fldCharType="separate"/>
            </w:r>
            <w:r w:rsidR="00066A74">
              <w:rPr>
                <w:noProof/>
                <w:webHidden/>
              </w:rPr>
              <w:t>26</w:t>
            </w:r>
            <w:r w:rsidR="00066A74">
              <w:rPr>
                <w:noProof/>
                <w:webHidden/>
              </w:rPr>
              <w:fldChar w:fldCharType="end"/>
            </w:r>
          </w:hyperlink>
        </w:p>
        <w:p w:rsidR="005707AE" w:rsidRDefault="00441502">
          <w:r>
            <w:fldChar w:fldCharType="end"/>
          </w:r>
        </w:p>
      </w:sdtContent>
    </w:sdt>
    <w:p w:rsidR="00536987" w:rsidRDefault="00BE5245" w:rsidP="00BE5245">
      <w:pPr>
        <w:pStyle w:val="Titre1"/>
        <w:pageBreakBefore/>
        <w:numPr>
          <w:ilvl w:val="0"/>
          <w:numId w:val="1"/>
        </w:numPr>
        <w:spacing w:after="240"/>
      </w:pPr>
      <w:bookmarkStart w:id="0" w:name="_Toc524081173"/>
      <w:r>
        <w:t>Raccordement</w:t>
      </w:r>
      <w:bookmarkEnd w:id="0"/>
    </w:p>
    <w:p w:rsidR="00BE5245" w:rsidRDefault="00BE5245" w:rsidP="005F439E">
      <w:pPr>
        <w:pStyle w:val="Titre2"/>
        <w:numPr>
          <w:ilvl w:val="1"/>
          <w:numId w:val="1"/>
        </w:numPr>
        <w:spacing w:after="240"/>
      </w:pPr>
      <w:bookmarkStart w:id="1" w:name="_Toc524081174"/>
      <w:r>
        <w:t>Raccordement BT</w:t>
      </w:r>
      <w:bookmarkEnd w:id="1"/>
    </w:p>
    <w:p w:rsidR="00442BB7" w:rsidRDefault="00442BB7" w:rsidP="00442BB7">
      <w:pPr>
        <w:jc w:val="both"/>
      </w:pPr>
      <w:r>
        <w:t>Le tarif de raccordement forfaitaire est d'application pour des raccordements en basse tension conformes aux prescriptions techniques du GRD pour autant que le demandeur se soit occupé des fournitures et des travaux préparatoires qui lui ont été demandés et que les prix de raccordement lui aient été confirmés par écrit par le GRD.</w:t>
      </w:r>
    </w:p>
    <w:p w:rsidR="00442BB7" w:rsidRDefault="00442BB7" w:rsidP="00442BB7">
      <w:pPr>
        <w:jc w:val="both"/>
      </w:pPr>
      <w:r>
        <w:t xml:space="preserve">Ces prix ne couvrent pas le réseau de distribution électrique nécessaire à la viabilisation de terrain (voir </w:t>
      </w:r>
      <w:r>
        <w:fldChar w:fldCharType="begin"/>
      </w:r>
      <w:r>
        <w:instrText xml:space="preserve"> REF _Ref523843118 \h </w:instrText>
      </w:r>
      <w:r>
        <w:fldChar w:fldCharType="separate"/>
      </w:r>
      <w:r>
        <w:t>Viabilisation de terrain</w:t>
      </w:r>
      <w:r>
        <w:fldChar w:fldCharType="end"/>
      </w:r>
      <w:r>
        <w:t>).</w:t>
      </w:r>
    </w:p>
    <w:p w:rsidR="00442BB7" w:rsidRDefault="00442BB7" w:rsidP="00442BB7">
      <w:pPr>
        <w:jc w:val="both"/>
      </w:pPr>
      <w:r>
        <w:t>Les tarifs sont d'application tant pour le prélèvement que pour l'injection d'électricité sur le réseau de distribution basse tension pour une intensité de maximum 250 A sous une tension inférieure ou égale à 1 kV.</w:t>
      </w:r>
    </w:p>
    <w:p w:rsidR="00442BB7" w:rsidRDefault="00442BB7" w:rsidP="00442BB7">
      <w:pPr>
        <w:jc w:val="both"/>
      </w:pPr>
      <w:r>
        <w:t>Prix unitaires en Euros, hors TVA. Ces montants sont des interventions et ne donnent aucun droit de propriété sur les installations qui restent propriété du GRD.</w:t>
      </w:r>
    </w:p>
    <w:p w:rsidR="00442BB7" w:rsidRPr="00442BB7" w:rsidRDefault="00442BB7" w:rsidP="00442BB7">
      <w:pPr>
        <w:jc w:val="both"/>
      </w:pPr>
      <w:r>
        <w:t>Pour les nouveaux raccordements, les prescriptions Synergrid, notamment C1/107, C1/110, C1/117 et C10/11, et les compléments du GRD sont d'application.</w:t>
      </w:r>
    </w:p>
    <w:p w:rsidR="00BE5245" w:rsidRDefault="00B70941" w:rsidP="00B70941">
      <w:pPr>
        <w:jc w:val="both"/>
      </w:pPr>
      <w:r>
        <w:t xml:space="preserve">Le type de raccordement sera imposé par le </w:t>
      </w:r>
      <w:r w:rsidR="00AF0BD9">
        <w:t>GRD, il</w:t>
      </w:r>
      <w:r>
        <w:t xml:space="preserve"> sera aéro-souterrain ou souterrain. L</w:t>
      </w:r>
      <w:r w:rsidR="00BE5245">
        <w:t>’alimentation se</w:t>
      </w:r>
      <w:r w:rsidR="00113DF3">
        <w:t xml:space="preserve">ra, sauf exception, </w:t>
      </w:r>
      <w:r>
        <w:t>3 x 400 V + neutre.</w:t>
      </w:r>
    </w:p>
    <w:p w:rsidR="000906F3" w:rsidRPr="00B70941" w:rsidRDefault="00B70941" w:rsidP="00B70941">
      <w:pPr>
        <w:jc w:val="both"/>
        <w:rPr>
          <w:b/>
        </w:rPr>
      </w:pPr>
      <w:r w:rsidRPr="00B70941">
        <w:rPr>
          <w:b/>
        </w:rPr>
        <w:t>Tout type de raccordement ne sera exécuté qu’après visite de raccordement obligatoire et accord préalable du GRD.</w:t>
      </w:r>
    </w:p>
    <w:p w:rsidR="005E129C" w:rsidRDefault="005E129C" w:rsidP="00B70941">
      <w:pPr>
        <w:jc w:val="both"/>
      </w:pPr>
      <w:r>
        <w:t>Le prix du raccordement comprend l’accès au réseau, le branchement, le comptage et des frais divers</w:t>
      </w:r>
      <w:r w:rsidR="003C1E54">
        <w:t xml:space="preserve"> à multiplié par le nombre de point d’accès demandé</w:t>
      </w:r>
    </w:p>
    <w:p w:rsidR="009278AA" w:rsidRDefault="009278AA" w:rsidP="00B70941">
      <w:pPr>
        <w:jc w:val="both"/>
      </w:pPr>
    </w:p>
    <w:p w:rsidR="003C1E54" w:rsidRPr="003C1E54" w:rsidRDefault="003C1E54" w:rsidP="00B70941">
      <w:pPr>
        <w:jc w:val="both"/>
        <w:rPr>
          <w:sz w:val="24"/>
        </w:rPr>
      </w:pPr>
    </w:p>
    <w:p w:rsidR="005E129C" w:rsidRPr="003C1E54" w:rsidRDefault="005E129C" w:rsidP="005E129C">
      <w:pPr>
        <w:jc w:val="center"/>
        <w:rPr>
          <w:b/>
          <w:sz w:val="24"/>
        </w:rPr>
      </w:pPr>
      <w:r w:rsidRPr="003C1E54">
        <w:rPr>
          <w:b/>
          <w:sz w:val="24"/>
        </w:rPr>
        <w:t xml:space="preserve">Prix d’un raccordement = </w:t>
      </w:r>
      <w:r w:rsidR="000906F3" w:rsidRPr="003C1E54">
        <w:rPr>
          <w:b/>
          <w:sz w:val="24"/>
        </w:rPr>
        <w:t>(</w:t>
      </w:r>
      <w:r w:rsidRPr="003C1E54">
        <w:rPr>
          <w:b/>
          <w:sz w:val="24"/>
        </w:rPr>
        <w:t>A + B + C + D</w:t>
      </w:r>
      <w:r w:rsidR="000906F3" w:rsidRPr="003C1E54">
        <w:rPr>
          <w:b/>
          <w:sz w:val="24"/>
        </w:rPr>
        <w:t>) x Nb EAN</w:t>
      </w: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tbl>
      <w:tblPr>
        <w:tblW w:w="0" w:type="auto"/>
        <w:jc w:val="center"/>
        <w:tblCellMar>
          <w:left w:w="70" w:type="dxa"/>
          <w:right w:w="70" w:type="dxa"/>
        </w:tblCellMar>
        <w:tblLook w:val="04A0" w:firstRow="1" w:lastRow="0" w:firstColumn="1" w:lastColumn="0" w:noHBand="0" w:noVBand="1"/>
      </w:tblPr>
      <w:tblGrid>
        <w:gridCol w:w="708"/>
        <w:gridCol w:w="2460"/>
        <w:gridCol w:w="4164"/>
        <w:gridCol w:w="1374"/>
        <w:gridCol w:w="1081"/>
      </w:tblGrid>
      <w:tr w:rsidR="007F7467" w:rsidRPr="007F7467" w:rsidTr="007F7467">
        <w:trPr>
          <w:trHeight w:val="390"/>
          <w:jc w:val="center"/>
        </w:trPr>
        <w:tc>
          <w:tcPr>
            <w:tcW w:w="0" w:type="auto"/>
            <w:tcBorders>
              <w:top w:val="single" w:sz="8" w:space="0" w:color="auto"/>
              <w:left w:val="single" w:sz="8" w:space="0" w:color="auto"/>
              <w:bottom w:val="nil"/>
              <w:right w:val="single" w:sz="8" w:space="0" w:color="auto"/>
            </w:tcBorders>
            <w:shd w:val="clear" w:color="000000" w:fill="D6DCE4"/>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sz w:val="28"/>
                <w:szCs w:val="28"/>
              </w:rPr>
            </w:pPr>
            <w:r w:rsidRPr="007F7467">
              <w:rPr>
                <w:rFonts w:ascii="Calibri" w:eastAsia="Times New Roman" w:hAnsi="Calibri" w:cs="Calibri"/>
                <w:b/>
                <w:bCs/>
                <w:color w:val="000000"/>
                <w:sz w:val="28"/>
                <w:szCs w:val="28"/>
              </w:rPr>
              <w:t>2020</w:t>
            </w:r>
          </w:p>
        </w:tc>
        <w:tc>
          <w:tcPr>
            <w:tcW w:w="0" w:type="auto"/>
            <w:gridSpan w:val="4"/>
            <w:tcBorders>
              <w:top w:val="single" w:sz="8" w:space="0" w:color="auto"/>
              <w:left w:val="nil"/>
              <w:bottom w:val="single" w:sz="8" w:space="0" w:color="auto"/>
              <w:right w:val="single" w:sz="8" w:space="0" w:color="000000"/>
            </w:tcBorders>
            <w:shd w:val="clear" w:color="000000" w:fill="2F75B5"/>
            <w:noWrap/>
            <w:vAlign w:val="center"/>
            <w:hideMark/>
          </w:tcPr>
          <w:p w:rsidR="007F7467" w:rsidRPr="007F7467" w:rsidRDefault="007F7467" w:rsidP="007F7467">
            <w:pPr>
              <w:spacing w:after="0" w:line="240" w:lineRule="auto"/>
              <w:jc w:val="center"/>
              <w:rPr>
                <w:rFonts w:ascii="Calibri" w:eastAsia="Times New Roman" w:hAnsi="Calibri" w:cs="Calibri"/>
                <w:b/>
                <w:bCs/>
                <w:color w:val="FFFFFF"/>
                <w:sz w:val="24"/>
                <w:szCs w:val="24"/>
              </w:rPr>
            </w:pPr>
            <w:r w:rsidRPr="007F7467">
              <w:rPr>
                <w:rFonts w:ascii="Calibri" w:eastAsia="Times New Roman" w:hAnsi="Calibri" w:cs="Calibri"/>
                <w:b/>
                <w:bCs/>
                <w:color w:val="FFFFFF"/>
                <w:sz w:val="24"/>
                <w:szCs w:val="24"/>
              </w:rPr>
              <w:t xml:space="preserve">Tarif Raccordement Electricité Basse Tension (≤ 250 A) sur réseau de distribution (≤ 1 </w:t>
            </w:r>
            <w:proofErr w:type="gramStart"/>
            <w:r w:rsidRPr="007F7467">
              <w:rPr>
                <w:rFonts w:ascii="Calibri" w:eastAsia="Times New Roman" w:hAnsi="Calibri" w:cs="Calibri"/>
                <w:b/>
                <w:bCs/>
                <w:color w:val="FFFFFF"/>
                <w:sz w:val="24"/>
                <w:szCs w:val="24"/>
              </w:rPr>
              <w:t>kV )</w:t>
            </w:r>
            <w:proofErr w:type="gramEnd"/>
          </w:p>
        </w:tc>
      </w:tr>
      <w:tr w:rsidR="007F7467" w:rsidRPr="007F7467" w:rsidTr="007F7467">
        <w:trPr>
          <w:trHeight w:val="315"/>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6DCE4"/>
            <w:noWrap/>
            <w:textDirection w:val="btLr"/>
            <w:vAlign w:val="center"/>
            <w:hideMark/>
          </w:tcPr>
          <w:p w:rsidR="007F7467" w:rsidRPr="007F7467" w:rsidRDefault="007F7467" w:rsidP="007F7467">
            <w:pPr>
              <w:spacing w:after="0" w:line="240" w:lineRule="auto"/>
              <w:jc w:val="center"/>
              <w:rPr>
                <w:rFonts w:ascii="Calibri" w:eastAsia="Times New Roman" w:hAnsi="Calibri" w:cs="Calibri"/>
                <w:b/>
                <w:bCs/>
                <w:color w:val="000000"/>
                <w:sz w:val="40"/>
                <w:szCs w:val="40"/>
              </w:rPr>
            </w:pPr>
            <w:r w:rsidRPr="007F7467">
              <w:rPr>
                <w:rFonts w:ascii="Calibri" w:eastAsia="Times New Roman" w:hAnsi="Calibri" w:cs="Calibri"/>
                <w:b/>
                <w:bCs/>
                <w:color w:val="000000"/>
                <w:sz w:val="40"/>
                <w:szCs w:val="40"/>
              </w:rPr>
              <w:t> </w:t>
            </w:r>
          </w:p>
        </w:tc>
        <w:tc>
          <w:tcPr>
            <w:tcW w:w="0" w:type="auto"/>
            <w:gridSpan w:val="2"/>
            <w:tcBorders>
              <w:top w:val="single" w:sz="8" w:space="0" w:color="auto"/>
              <w:left w:val="nil"/>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A</w:t>
            </w:r>
          </w:p>
        </w:tc>
        <w:tc>
          <w:tcPr>
            <w:tcW w:w="0" w:type="auto"/>
            <w:tcBorders>
              <w:top w:val="nil"/>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B</w:t>
            </w:r>
          </w:p>
        </w:tc>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C</w:t>
            </w:r>
          </w:p>
        </w:tc>
      </w:tr>
      <w:tr w:rsidR="007F7467" w:rsidRPr="007F7467" w:rsidTr="007F7467">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sz w:val="40"/>
                <w:szCs w:val="40"/>
              </w:rPr>
            </w:pPr>
          </w:p>
        </w:tc>
        <w:tc>
          <w:tcPr>
            <w:tcW w:w="0" w:type="auto"/>
            <w:gridSpan w:val="2"/>
            <w:tcBorders>
              <w:top w:val="single" w:sz="8" w:space="0" w:color="auto"/>
              <w:left w:val="nil"/>
              <w:bottom w:val="nil"/>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Accès au réseau</w:t>
            </w:r>
          </w:p>
        </w:tc>
        <w:tc>
          <w:tcPr>
            <w:tcW w:w="0" w:type="auto"/>
            <w:tcBorders>
              <w:top w:val="nil"/>
              <w:left w:val="single" w:sz="8" w:space="0" w:color="auto"/>
              <w:bottom w:val="nil"/>
              <w:right w:val="single" w:sz="8" w:space="0" w:color="auto"/>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Branchement</w:t>
            </w:r>
          </w:p>
        </w:tc>
        <w:tc>
          <w:tcPr>
            <w:tcW w:w="0" w:type="auto"/>
            <w:tcBorders>
              <w:top w:val="nil"/>
              <w:left w:val="nil"/>
              <w:bottom w:val="nil"/>
              <w:right w:val="single" w:sz="8" w:space="0" w:color="auto"/>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Comptage</w:t>
            </w:r>
          </w:p>
        </w:tc>
      </w:tr>
      <w:tr w:rsidR="007F7467" w:rsidRPr="007F7467" w:rsidTr="007F7467">
        <w:trPr>
          <w:trHeight w:val="103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sz w:val="40"/>
                <w:szCs w:val="40"/>
              </w:rPr>
            </w:pPr>
          </w:p>
        </w:tc>
        <w:tc>
          <w:tcPr>
            <w:tcW w:w="0" w:type="auto"/>
            <w:tcBorders>
              <w:top w:val="single" w:sz="8" w:space="0" w:color="auto"/>
              <w:left w:val="nil"/>
              <w:bottom w:val="nil"/>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Courant maximum (Amp)</w:t>
            </w:r>
          </w:p>
        </w:tc>
        <w:tc>
          <w:tcPr>
            <w:tcW w:w="0" w:type="auto"/>
            <w:tcBorders>
              <w:top w:val="single" w:sz="8" w:space="0" w:color="auto"/>
              <w:left w:val="nil"/>
              <w:bottom w:val="nil"/>
              <w:right w:val="nil"/>
            </w:tcBorders>
            <w:shd w:val="clear" w:color="auto" w:fill="auto"/>
            <w:vAlign w:val="center"/>
            <w:hideMark/>
          </w:tcPr>
          <w:p w:rsidR="007F7467" w:rsidRPr="007F7467" w:rsidRDefault="007F7467" w:rsidP="007F7467">
            <w:pPr>
              <w:spacing w:after="0" w:line="240" w:lineRule="auto"/>
              <w:jc w:val="center"/>
              <w:rPr>
                <w:rFonts w:ascii="Calibri" w:eastAsia="Times New Roman" w:hAnsi="Calibri" w:cs="Calibri"/>
                <w:b/>
                <w:bCs/>
                <w:color w:val="000000"/>
                <w:sz w:val="20"/>
                <w:szCs w:val="20"/>
              </w:rPr>
            </w:pPr>
            <w:r w:rsidRPr="007F7467">
              <w:rPr>
                <w:rFonts w:ascii="Calibri" w:eastAsia="Times New Roman" w:hAnsi="Calibri" w:cs="Calibri"/>
                <w:b/>
                <w:bCs/>
                <w:color w:val="000000"/>
                <w:sz w:val="20"/>
                <w:szCs w:val="20"/>
              </w:rPr>
              <w:t>Raccordement définitif                                  Gratuit jusqu'à 9,2 kVA au-delà 1 fois par kVA Prix (€)</w:t>
            </w:r>
          </w:p>
        </w:tc>
        <w:tc>
          <w:tcPr>
            <w:tcW w:w="0" w:type="auto"/>
            <w:tcBorders>
              <w:top w:val="single" w:sz="8" w:space="0" w:color="auto"/>
              <w:left w:val="single" w:sz="8" w:space="0" w:color="auto"/>
              <w:bottom w:val="nil"/>
              <w:right w:val="nil"/>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Prix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Prix (€)</w:t>
            </w:r>
          </w:p>
        </w:tc>
      </w:tr>
      <w:tr w:rsidR="007F7467" w:rsidRPr="007F7467" w:rsidTr="007F7467">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sz w:val="40"/>
                <w:szCs w:val="40"/>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 xml:space="preserve"> ≤140 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 xml:space="preserve">               151,04 €/kVA </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743,53 €</w:t>
            </w:r>
          </w:p>
        </w:tc>
        <w:tc>
          <w:tcPr>
            <w:tcW w:w="0" w:type="auto"/>
            <w:vMerge w:val="restart"/>
            <w:tcBorders>
              <w:top w:val="nil"/>
              <w:left w:val="single" w:sz="8" w:space="0" w:color="auto"/>
              <w:bottom w:val="nil"/>
              <w:right w:val="single" w:sz="8" w:space="0" w:color="auto"/>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345,36 €</w:t>
            </w:r>
          </w:p>
        </w:tc>
      </w:tr>
      <w:tr w:rsidR="007F7467" w:rsidRPr="007F7467" w:rsidTr="007F7467">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sz w:val="40"/>
                <w:szCs w:val="4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c>
          <w:tcPr>
            <w:tcW w:w="0" w:type="auto"/>
            <w:vMerge/>
            <w:tcBorders>
              <w:top w:val="nil"/>
              <w:left w:val="single" w:sz="8" w:space="0" w:color="auto"/>
              <w:bottom w:val="nil"/>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r>
      <w:tr w:rsidR="007F7467" w:rsidRPr="007F7467" w:rsidTr="007F7467">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sz w:val="40"/>
                <w:szCs w:val="40"/>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&gt; 140 A et ≤</w:t>
            </w:r>
            <w:r w:rsidRPr="007F7467">
              <w:rPr>
                <w:rFonts w:ascii="Calibri" w:eastAsia="Times New Roman" w:hAnsi="Calibri" w:cs="Calibri"/>
                <w:b/>
                <w:bCs/>
                <w:color w:val="000000"/>
                <w:sz w:val="18"/>
                <w:szCs w:val="18"/>
              </w:rPr>
              <w:t xml:space="preserve"> </w:t>
            </w:r>
            <w:r w:rsidRPr="007F7467">
              <w:rPr>
                <w:rFonts w:ascii="Calibri" w:eastAsia="Times New Roman" w:hAnsi="Calibri" w:cs="Calibri"/>
                <w:b/>
                <w:bCs/>
                <w:color w:val="000000"/>
              </w:rPr>
              <w:t>250 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2.309,82 €</w:t>
            </w:r>
          </w:p>
        </w:tc>
      </w:tr>
      <w:tr w:rsidR="007F7467" w:rsidRPr="007F7467" w:rsidTr="007F7467">
        <w:trPr>
          <w:trHeight w:val="54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sz w:val="40"/>
                <w:szCs w:val="40"/>
              </w:rPr>
            </w:pPr>
          </w:p>
        </w:tc>
        <w:tc>
          <w:tcPr>
            <w:tcW w:w="0" w:type="auto"/>
            <w:vMerge/>
            <w:tcBorders>
              <w:top w:val="nil"/>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F7467" w:rsidRPr="007F7467" w:rsidRDefault="007F7467" w:rsidP="007F7467">
            <w:pPr>
              <w:spacing w:after="0" w:line="240" w:lineRule="auto"/>
              <w:rPr>
                <w:rFonts w:ascii="Calibri" w:eastAsia="Times New Roman" w:hAnsi="Calibri" w:cs="Calibri"/>
                <w:color w:val="000000"/>
              </w:rPr>
            </w:pPr>
          </w:p>
        </w:tc>
      </w:tr>
    </w:tbl>
    <w:p w:rsidR="00442BB7" w:rsidRDefault="00442BB7" w:rsidP="005E129C">
      <w:pPr>
        <w:jc w:val="center"/>
        <w:rPr>
          <w:b/>
        </w:rPr>
      </w:pPr>
    </w:p>
    <w:p w:rsidR="007D0846" w:rsidRPr="007D0846" w:rsidRDefault="00E80857" w:rsidP="009F645A">
      <w:pPr>
        <w:pStyle w:val="Titre3"/>
        <w:numPr>
          <w:ilvl w:val="2"/>
          <w:numId w:val="2"/>
        </w:numPr>
        <w:spacing w:after="240"/>
      </w:pPr>
      <w:r>
        <w:t>Accès au réseau</w:t>
      </w:r>
    </w:p>
    <w:p w:rsidR="00442BB7" w:rsidRDefault="00442BB7" w:rsidP="008F0EDD">
      <w:pPr>
        <w:jc w:val="both"/>
      </w:pPr>
      <w:r>
        <w:t xml:space="preserve">Ce forfait comprend une quote-part pour couvrir les adaptations de réseau situées en amont du point d'accès.  </w:t>
      </w:r>
    </w:p>
    <w:p w:rsidR="00442BB7" w:rsidRDefault="00442BB7" w:rsidP="008F0EDD">
      <w:pPr>
        <w:jc w:val="both"/>
        <w:rPr>
          <w:b/>
          <w:u w:val="single"/>
        </w:rPr>
      </w:pPr>
      <w:r w:rsidRPr="00442BB7">
        <w:rPr>
          <w:b/>
          <w:u w:val="single"/>
        </w:rPr>
        <w:t xml:space="preserve">Non compris dans le forfait, mais réalisé par le </w:t>
      </w:r>
      <w:r w:rsidR="008F0EDD" w:rsidRPr="00442BB7">
        <w:rPr>
          <w:b/>
          <w:u w:val="single"/>
        </w:rPr>
        <w:t>GRD :</w:t>
      </w:r>
    </w:p>
    <w:p w:rsidR="00442BB7" w:rsidRPr="008F0EDD" w:rsidRDefault="00442BB7" w:rsidP="009F645A">
      <w:pPr>
        <w:pStyle w:val="Paragraphedeliste"/>
        <w:numPr>
          <w:ilvl w:val="0"/>
          <w:numId w:val="15"/>
        </w:numPr>
        <w:jc w:val="both"/>
        <w:rPr>
          <w:b/>
          <w:sz w:val="22"/>
          <w:u w:val="single"/>
        </w:rPr>
      </w:pPr>
      <w:r w:rsidRPr="008F0EDD">
        <w:rPr>
          <w:sz w:val="22"/>
        </w:rPr>
        <w:t xml:space="preserve">Le forage sous éléments structurels (ponts, cours d'eau, chemin de fer, autoroutes, …), </w:t>
      </w:r>
    </w:p>
    <w:p w:rsidR="00442BB7" w:rsidRPr="008F0EDD" w:rsidRDefault="00442BB7" w:rsidP="009F645A">
      <w:pPr>
        <w:pStyle w:val="Paragraphedeliste"/>
        <w:numPr>
          <w:ilvl w:val="0"/>
          <w:numId w:val="15"/>
        </w:numPr>
        <w:jc w:val="both"/>
        <w:rPr>
          <w:b/>
          <w:sz w:val="22"/>
          <w:u w:val="single"/>
        </w:rPr>
      </w:pPr>
      <w:r w:rsidRPr="008F0EDD">
        <w:rPr>
          <w:sz w:val="22"/>
        </w:rPr>
        <w:t xml:space="preserve">Lorsque le raccordement nécessite une extension du réseau, le coût de cette extension est à charge du demandeur sauf s'il s'agit d'une habitation construite le long de la voirie en zone d'habitat, d’habitat à caractère rural ou d'extension d'habitat, et hors lotissement ou assimilé (plan masse, indivision, habitat groupé ou opération similaire à caractère commercial).  </w:t>
      </w:r>
    </w:p>
    <w:p w:rsidR="00442BB7" w:rsidRPr="00442BB7" w:rsidRDefault="00442BB7" w:rsidP="008F0EDD">
      <w:pPr>
        <w:jc w:val="both"/>
        <w:rPr>
          <w:b/>
          <w:u w:val="single"/>
        </w:rPr>
      </w:pPr>
      <w:r w:rsidRPr="00442BB7">
        <w:rPr>
          <w:b/>
          <w:u w:val="single"/>
        </w:rPr>
        <w:t>Remarques :</w:t>
      </w:r>
    </w:p>
    <w:p w:rsidR="00442BB7" w:rsidRDefault="00442BB7" w:rsidP="008F0EDD">
      <w:pPr>
        <w:jc w:val="both"/>
      </w:pPr>
      <w:r>
        <w:t>Un point d’accès a droit à une puissance de base de 9,2 kVA</w:t>
      </w:r>
      <w:r w:rsidR="008F0EDD">
        <w:t xml:space="preserve">. Pour tenir compte des calibres des disjoncteurs de protection disponibles chez le GRD cela </w:t>
      </w:r>
      <w:r>
        <w:t>correspond à un raccordement avec un disjoncteur de protection de 15 A en tétraphasé 400 V.</w:t>
      </w:r>
    </w:p>
    <w:p w:rsidR="00442BB7" w:rsidRDefault="00442BB7" w:rsidP="008F0EDD">
      <w:pPr>
        <w:jc w:val="both"/>
      </w:pPr>
      <w:r>
        <w:t>Le droit de prélèvement ou d’injection de puissance est facturé au moyen du terme A.</w:t>
      </w:r>
    </w:p>
    <w:p w:rsidR="00442BB7" w:rsidRDefault="00442BB7" w:rsidP="008F0EDD">
      <w:pPr>
        <w:jc w:val="both"/>
      </w:pPr>
      <w:r>
        <w:t xml:space="preserve">Pour tenir compte des calibres des disjoncteurs de protection disponibles chez le GRD, le droit de prélèvement ou d’injection de puissance sera compté et facturé à partir du seuil de 9,2 kVA. </w:t>
      </w:r>
    </w:p>
    <w:p w:rsidR="00442BB7" w:rsidRDefault="00442BB7" w:rsidP="008F0EDD">
      <w:pPr>
        <w:jc w:val="both"/>
      </w:pPr>
      <w:r>
        <w:t>Un terme A est aussi appliqué pour chaque point d'accès supplémentaire dont la puissance demandée dépasse 9,2 kVA.</w:t>
      </w:r>
    </w:p>
    <w:p w:rsidR="00442BB7" w:rsidRDefault="00442BB7" w:rsidP="008F0EDD">
      <w:pPr>
        <w:jc w:val="both"/>
      </w:pPr>
      <w:r>
        <w:t>Le droit de prélèvement de puissance sera dû pour toute augmentation de puissance mise à disposition au-delà de 9,2 kVA.</w:t>
      </w:r>
    </w:p>
    <w:p w:rsidR="003C1E54" w:rsidRDefault="003C1E54" w:rsidP="008F0EDD">
      <w:pPr>
        <w:jc w:val="both"/>
      </w:pPr>
    </w:p>
    <w:p w:rsidR="00442BB7" w:rsidRDefault="00442BB7" w:rsidP="008F0EDD">
      <w:pPr>
        <w:jc w:val="both"/>
      </w:pPr>
      <w:r>
        <w:t xml:space="preserve">En cas de demande de renforcement, seul le droit de prélèvement de puissance sera dû pour l'augmentation ainsi que la prestation relative au renforcement de la protection, </w:t>
      </w:r>
      <w:r w:rsidR="008F0EDD">
        <w:t>si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branchement et le module de comptage sont </w:t>
      </w:r>
      <w:r w:rsidRPr="008F0EDD">
        <w:rPr>
          <w:sz w:val="22"/>
        </w:rPr>
        <w:t>suffisants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réseau local est </w:t>
      </w:r>
      <w:r w:rsidRPr="008F0EDD">
        <w:rPr>
          <w:sz w:val="22"/>
        </w:rPr>
        <w:t>suffisant ;</w:t>
      </w:r>
    </w:p>
    <w:p w:rsidR="00442BB7" w:rsidRPr="008F0EDD" w:rsidRDefault="002F5993" w:rsidP="009F645A">
      <w:pPr>
        <w:pStyle w:val="Paragraphedeliste"/>
        <w:numPr>
          <w:ilvl w:val="0"/>
          <w:numId w:val="16"/>
        </w:numPr>
        <w:jc w:val="both"/>
        <w:rPr>
          <w:sz w:val="22"/>
        </w:rPr>
      </w:pPr>
      <w:r w:rsidRPr="008F0EDD">
        <w:rPr>
          <w:sz w:val="22"/>
        </w:rPr>
        <w:t>La</w:t>
      </w:r>
      <w:r w:rsidR="00442BB7" w:rsidRPr="008F0EDD">
        <w:rPr>
          <w:sz w:val="22"/>
        </w:rPr>
        <w:t xml:space="preserve"> disponibilité de capacité sur le réseau BT a été confirmée par le GRD.</w:t>
      </w:r>
    </w:p>
    <w:p w:rsidR="008F0EDD" w:rsidRDefault="00442BB7" w:rsidP="008F0EDD">
      <w:pPr>
        <w:jc w:val="both"/>
      </w:pPr>
      <w:r>
        <w:t>Si ce n'est pas le cas, le renforcement sera traité comme un nouveau raccordement à l'exception du terme A où seul le supplément de puissance sera facturé.</w:t>
      </w:r>
    </w:p>
    <w:p w:rsidR="008F0EDD" w:rsidRDefault="00442BB7" w:rsidP="008F0EDD">
      <w:pPr>
        <w:jc w:val="both"/>
        <w:rPr>
          <w:b/>
          <w:u w:val="single"/>
        </w:rPr>
      </w:pPr>
      <w:r w:rsidRPr="008F0EDD">
        <w:rPr>
          <w:b/>
          <w:u w:val="single"/>
        </w:rPr>
        <w:t>Pour des puissances de raccordement supérieures (*)</w:t>
      </w:r>
      <w:r w:rsidR="00E56D8E">
        <w:rPr>
          <w:b/>
          <w:u w:val="single"/>
        </w:rPr>
        <w:t xml:space="preserve"> </w:t>
      </w:r>
      <w:r w:rsidRPr="008F0EDD">
        <w:rPr>
          <w:b/>
          <w:u w:val="single"/>
        </w:rPr>
        <w:t xml:space="preserve">:  </w:t>
      </w:r>
    </w:p>
    <w:p w:rsidR="00442BB7" w:rsidRPr="008F0EDD" w:rsidRDefault="002F5993" w:rsidP="009F645A">
      <w:pPr>
        <w:pStyle w:val="Paragraphedeliste"/>
        <w:numPr>
          <w:ilvl w:val="0"/>
          <w:numId w:val="17"/>
        </w:numPr>
        <w:jc w:val="both"/>
        <w:rPr>
          <w:b/>
          <w:sz w:val="22"/>
          <w:u w:val="single"/>
        </w:rPr>
      </w:pPr>
      <w:r w:rsidRPr="008F0EDD">
        <w:rPr>
          <w:sz w:val="22"/>
        </w:rPr>
        <w:t>À</w:t>
      </w:r>
      <w:r w:rsidR="00442BB7" w:rsidRPr="008F0EDD">
        <w:rPr>
          <w:sz w:val="22"/>
        </w:rPr>
        <w:t xml:space="preserve"> 56 </w:t>
      </w:r>
      <w:r w:rsidRPr="008F0EDD">
        <w:rPr>
          <w:sz w:val="22"/>
        </w:rPr>
        <w:t>kVA et</w:t>
      </w:r>
      <w:r w:rsidR="00442BB7" w:rsidRPr="008F0EDD">
        <w:rPr>
          <w:sz w:val="22"/>
        </w:rPr>
        <w:t xml:space="preserve"> inférieures ou égales à 250 kVA, le GRD peut exiger un raccordement au départ du réseau </w:t>
      </w:r>
      <w:r w:rsidR="008F0EDD" w:rsidRPr="008F0EDD">
        <w:rPr>
          <w:sz w:val="22"/>
        </w:rPr>
        <w:t>moyenne</w:t>
      </w:r>
      <w:r w:rsidR="00442BB7" w:rsidRPr="008F0EDD">
        <w:rPr>
          <w:sz w:val="22"/>
        </w:rPr>
        <w:t xml:space="preserve"> </w:t>
      </w:r>
      <w:r w:rsidRPr="008F0EDD">
        <w:rPr>
          <w:sz w:val="22"/>
        </w:rPr>
        <w:t>tension ;</w:t>
      </w:r>
    </w:p>
    <w:p w:rsidR="00442BB7" w:rsidRDefault="00442BB7" w:rsidP="008F0EDD">
      <w:pPr>
        <w:jc w:val="both"/>
      </w:pPr>
      <w:r>
        <w:t>(*) (Arrêté du Gouvernement wallon du 3 mars 2011 approuvant le règlement technique pour la gestion des réseaux de distribution d’électricité en Région wallonne et l’accès à ceux-ci).</w:t>
      </w:r>
    </w:p>
    <w:p w:rsidR="003C1E54" w:rsidRDefault="003C1E54" w:rsidP="008F0EDD">
      <w:pPr>
        <w:jc w:val="both"/>
      </w:pPr>
    </w:p>
    <w:p w:rsidR="00831C67" w:rsidRDefault="00831C67" w:rsidP="009F645A">
      <w:pPr>
        <w:pStyle w:val="Titre3"/>
        <w:numPr>
          <w:ilvl w:val="2"/>
          <w:numId w:val="2"/>
        </w:numPr>
        <w:spacing w:after="240"/>
      </w:pPr>
      <w:r>
        <w:t>Branchement</w:t>
      </w:r>
    </w:p>
    <w:p w:rsidR="008F0EDD" w:rsidRPr="008F0EDD" w:rsidRDefault="008F0EDD" w:rsidP="008F0EDD">
      <w:pPr>
        <w:jc w:val="both"/>
        <w:rPr>
          <w:b/>
          <w:u w:val="single"/>
        </w:rPr>
      </w:pPr>
      <w:r w:rsidRPr="008F0EDD">
        <w:rPr>
          <w:b/>
          <w:u w:val="single"/>
        </w:rPr>
        <w:t>Ce forfait comprend les travaux suivants réalisés par le GRD</w:t>
      </w:r>
      <w:r>
        <w:rPr>
          <w:b/>
          <w:u w:val="single"/>
        </w:rPr>
        <w:t xml:space="preserve"> </w:t>
      </w:r>
      <w:r w:rsidRPr="008F0EDD">
        <w:rPr>
          <w:b/>
          <w:u w:val="single"/>
        </w:rPr>
        <w:t>:</w:t>
      </w:r>
    </w:p>
    <w:p w:rsidR="008F0EDD" w:rsidRPr="008F0EDD" w:rsidRDefault="002F5993" w:rsidP="009F645A">
      <w:pPr>
        <w:pStyle w:val="Paragraphedeliste"/>
        <w:numPr>
          <w:ilvl w:val="0"/>
          <w:numId w:val="17"/>
        </w:numPr>
        <w:jc w:val="both"/>
        <w:rPr>
          <w:sz w:val="22"/>
        </w:rPr>
      </w:pPr>
      <w:r w:rsidRPr="008F0EDD">
        <w:rPr>
          <w:sz w:val="22"/>
        </w:rPr>
        <w:t>Le</w:t>
      </w:r>
      <w:r w:rsidR="008F0EDD" w:rsidRPr="008F0EDD">
        <w:rPr>
          <w:sz w:val="22"/>
        </w:rPr>
        <w:t xml:space="preserve"> matériel de fixation du câble au support et les </w:t>
      </w:r>
      <w:r w:rsidRPr="008F0EDD">
        <w:rPr>
          <w:sz w:val="22"/>
        </w:rPr>
        <w:t>accessoires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à l'intérieur de l'immeuble jusqu'au coffret de comptage (max 3 m)</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du câble au réseau</w:t>
      </w:r>
      <w:r>
        <w:rPr>
          <w:sz w:val="22"/>
        </w:rPr>
        <w:t xml:space="preserve"> </w:t>
      </w:r>
      <w:r w:rsidR="008F0EDD" w:rsidRPr="008F0EDD">
        <w:rPr>
          <w:sz w:val="22"/>
        </w:rPr>
        <w:t>;</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au sectionneur fourni et placé par le demandeur dans le coffret de raccordement</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dans une gaine d'attente posée par le client en domaine privé (longueur </w:t>
      </w:r>
      <w:r w:rsidRPr="008F0EDD">
        <w:rPr>
          <w:sz w:val="22"/>
        </w:rPr>
        <w:t>max :</w:t>
      </w:r>
      <w:r w:rsidR="008F0EDD" w:rsidRPr="008F0EDD">
        <w:rPr>
          <w:sz w:val="22"/>
        </w:rPr>
        <w:t xml:space="preserve"> 25 m entre le coffret de comptage et la limite de la propriété privée/publique)</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en domaine public.</w:t>
      </w:r>
    </w:p>
    <w:p w:rsidR="008F0EDD" w:rsidRPr="008F0EDD" w:rsidRDefault="008F0EDD" w:rsidP="008F0EDD">
      <w:pPr>
        <w:jc w:val="both"/>
        <w:rPr>
          <w:b/>
          <w:u w:val="single"/>
        </w:rPr>
      </w:pPr>
      <w:r w:rsidRPr="008F0EDD">
        <w:rPr>
          <w:b/>
          <w:u w:val="single"/>
        </w:rPr>
        <w:t>Ce forfait ne comprend pas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de la courbe de raccordement (ou équivalent) obligatoire en nouvelle construction</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réalisation des travaux de terrassement, niches externes et internes et la pose de gaines d'attente en domaine privé (selon prescriptions du GRD). Ce travail peut être réalisé par le GRD à la demande de l'utilisateur de réseau moyennant un supplément de prix présenté en Divers</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d'un organe de coupure général à partir de 3 points de prélèvement</w:t>
      </w:r>
      <w:r>
        <w:rPr>
          <w:sz w:val="22"/>
        </w:rPr>
        <w:t xml:space="preserve"> </w:t>
      </w:r>
      <w:r w:rsidR="008F0EDD" w:rsidRPr="008F0EDD">
        <w:rPr>
          <w:sz w:val="22"/>
        </w:rPr>
        <w:t>;</w:t>
      </w:r>
    </w:p>
    <w:p w:rsidR="008F0EDD" w:rsidRDefault="002F5993" w:rsidP="009F645A">
      <w:pPr>
        <w:pStyle w:val="Paragraphedeliste"/>
        <w:numPr>
          <w:ilvl w:val="0"/>
          <w:numId w:val="18"/>
        </w:numPr>
        <w:jc w:val="both"/>
        <w:rPr>
          <w:sz w:val="22"/>
        </w:rPr>
      </w:pPr>
      <w:r w:rsidRPr="008F0EDD">
        <w:rPr>
          <w:sz w:val="22"/>
        </w:rPr>
        <w:t>Les</w:t>
      </w:r>
      <w:r w:rsidR="008F0EDD" w:rsidRPr="008F0EDD">
        <w:rPr>
          <w:sz w:val="22"/>
        </w:rPr>
        <w:t xml:space="preserve"> percements et ragréages (+ étanchéité) des traversées de façade dans le cas des immeubles existants, l'apport et l'enlèvement de terre en terrain privé, le remplacement de pavages spéciaux.</w:t>
      </w:r>
    </w:p>
    <w:p w:rsidR="003C1E54" w:rsidRDefault="003C1E54" w:rsidP="003C1E54">
      <w:pPr>
        <w:jc w:val="both"/>
      </w:pPr>
    </w:p>
    <w:p w:rsidR="008F0EDD" w:rsidRPr="008F0EDD" w:rsidRDefault="008F0EDD" w:rsidP="008F0EDD">
      <w:pPr>
        <w:jc w:val="both"/>
        <w:rPr>
          <w:b/>
          <w:u w:val="single"/>
        </w:rPr>
      </w:pPr>
      <w:r w:rsidRPr="008F0EDD">
        <w:rPr>
          <w:b/>
          <w:u w:val="single"/>
        </w:rPr>
        <w:t>Non compris dans le forfait, mais réalisé par le GRD</w:t>
      </w:r>
      <w:r>
        <w:rPr>
          <w:b/>
          <w:u w:val="single"/>
        </w:rPr>
        <w:t xml:space="preserve"> </w:t>
      </w:r>
      <w:r w:rsidRPr="008F0EDD">
        <w:rPr>
          <w:b/>
          <w:u w:val="single"/>
        </w:rPr>
        <w:t>:</w:t>
      </w:r>
    </w:p>
    <w:p w:rsidR="008F0EDD" w:rsidRDefault="002F5993" w:rsidP="009F645A">
      <w:pPr>
        <w:pStyle w:val="Paragraphedeliste"/>
        <w:numPr>
          <w:ilvl w:val="0"/>
          <w:numId w:val="19"/>
        </w:numPr>
        <w:jc w:val="both"/>
      </w:pPr>
      <w:r>
        <w:t>La</w:t>
      </w:r>
      <w:r w:rsidR="008F0EDD">
        <w:t xml:space="preserve"> fourniture et la pose de câble au-delà de 25 m en terrain privé (moyennant un supplément de prix présenté en Divers). </w:t>
      </w:r>
    </w:p>
    <w:p w:rsidR="008F0EDD" w:rsidRPr="008F0EDD" w:rsidRDefault="008F0EDD" w:rsidP="008F0EDD">
      <w:pPr>
        <w:jc w:val="both"/>
        <w:rPr>
          <w:b/>
          <w:u w:val="single"/>
        </w:rPr>
      </w:pPr>
      <w:r w:rsidRPr="008F0EDD">
        <w:rPr>
          <w:b/>
          <w:u w:val="single"/>
        </w:rPr>
        <w:t>Remarques</w:t>
      </w:r>
      <w:r>
        <w:rPr>
          <w:b/>
          <w:u w:val="single"/>
        </w:rPr>
        <w:t xml:space="preserve"> </w:t>
      </w:r>
      <w:r w:rsidRPr="008F0EDD">
        <w:rPr>
          <w:b/>
          <w:u w:val="single"/>
        </w:rPr>
        <w:t>:</w:t>
      </w:r>
    </w:p>
    <w:p w:rsidR="008F0EDD" w:rsidRDefault="008F0EDD" w:rsidP="008F0EDD">
      <w:pPr>
        <w:jc w:val="both"/>
      </w:pPr>
      <w:r>
        <w:t>Dans un raccordement aérien, la fourniture et la pose de la colonne (câble entre le coffret de comptage et le réseau aérien / câble de raccordement torsadé) seront réalisées par GRD pour autant que le client mette à disposition et rende accessible la goulotte ou la saignée.</w:t>
      </w:r>
    </w:p>
    <w:p w:rsidR="008F0EDD" w:rsidRDefault="008F0EDD" w:rsidP="008F0EDD">
      <w:pPr>
        <w:jc w:val="both"/>
      </w:pPr>
      <w:r>
        <w:t>Si le branchement existant est aérien et que le demandeur veut passer en branchement souterrain uniquement pour raison esthétique et sans aucune justification technique, il paiera suivant devis.</w:t>
      </w:r>
    </w:p>
    <w:p w:rsidR="003C1E54" w:rsidRDefault="003C1E54" w:rsidP="008F0EDD">
      <w:pPr>
        <w:jc w:val="both"/>
      </w:pPr>
    </w:p>
    <w:p w:rsidR="00ED3F5C" w:rsidRDefault="00ED3F5C" w:rsidP="009F645A">
      <w:pPr>
        <w:pStyle w:val="Titre3"/>
        <w:numPr>
          <w:ilvl w:val="2"/>
          <w:numId w:val="2"/>
        </w:numPr>
        <w:spacing w:after="240"/>
      </w:pPr>
      <w:r>
        <w:t>Comptage</w:t>
      </w:r>
    </w:p>
    <w:p w:rsidR="002F5993" w:rsidRPr="002F5993" w:rsidRDefault="002F5993" w:rsidP="00BE1569">
      <w:pPr>
        <w:jc w:val="both"/>
        <w:rPr>
          <w:b/>
          <w:u w:val="single"/>
        </w:rPr>
      </w:pPr>
      <w:r w:rsidRPr="002F5993">
        <w:rPr>
          <w:b/>
          <w:u w:val="single"/>
        </w:rPr>
        <w:t>Ce forfait comprend les travaux suivants réalisés par GRD :</w:t>
      </w:r>
    </w:p>
    <w:p w:rsidR="002F5993" w:rsidRPr="002F5993" w:rsidRDefault="002F5993" w:rsidP="009F645A">
      <w:pPr>
        <w:pStyle w:val="Paragraphedeliste"/>
        <w:numPr>
          <w:ilvl w:val="0"/>
          <w:numId w:val="20"/>
        </w:numPr>
        <w:jc w:val="both"/>
        <w:rPr>
          <w:sz w:val="22"/>
        </w:rPr>
      </w:pPr>
      <w:r w:rsidRPr="002F5993">
        <w:rPr>
          <w:sz w:val="22"/>
        </w:rPr>
        <w:t>La fourniture et la pose du disjoncteur de protection en fonction des calibres disponibles</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pose du compteur</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fourniture et la mise à disposition d'un contact préférentiel (pour le pilotage d'un boiler par ex), si compteur double tarif ;</w:t>
      </w:r>
    </w:p>
    <w:p w:rsidR="002F5993" w:rsidRPr="002F5993" w:rsidRDefault="002F5993" w:rsidP="009F645A">
      <w:pPr>
        <w:pStyle w:val="Paragraphedeliste"/>
        <w:numPr>
          <w:ilvl w:val="0"/>
          <w:numId w:val="20"/>
        </w:numPr>
        <w:jc w:val="both"/>
        <w:rPr>
          <w:sz w:val="22"/>
        </w:rPr>
      </w:pPr>
      <w:r w:rsidRPr="002F5993">
        <w:rPr>
          <w:sz w:val="22"/>
        </w:rPr>
        <w:t>La fourniture et la pose du relais de télécommande si d'application</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connexion du câble vers le coffret divisionnaire client si posé suivant les prescriptions du GRD</w:t>
      </w:r>
      <w:r>
        <w:rPr>
          <w:sz w:val="22"/>
        </w:rPr>
        <w:t xml:space="preserve"> </w:t>
      </w:r>
      <w:r w:rsidRPr="002F5993">
        <w:rPr>
          <w:sz w:val="22"/>
        </w:rPr>
        <w:t>;</w:t>
      </w:r>
    </w:p>
    <w:p w:rsidR="002F5993" w:rsidRDefault="002F5993" w:rsidP="009F645A">
      <w:pPr>
        <w:pStyle w:val="Paragraphedeliste"/>
        <w:numPr>
          <w:ilvl w:val="0"/>
          <w:numId w:val="20"/>
        </w:numPr>
        <w:jc w:val="both"/>
        <w:rPr>
          <w:sz w:val="22"/>
        </w:rPr>
      </w:pPr>
      <w:r>
        <w:rPr>
          <w:sz w:val="22"/>
        </w:rPr>
        <w:t>L</w:t>
      </w:r>
      <w:r w:rsidRPr="002F5993">
        <w:rPr>
          <w:sz w:val="22"/>
        </w:rPr>
        <w:t>a première mise en service.</w:t>
      </w:r>
    </w:p>
    <w:p w:rsidR="00E56D8E" w:rsidRDefault="00E56D8E" w:rsidP="009F645A">
      <w:pPr>
        <w:pStyle w:val="Paragraphedeliste"/>
        <w:numPr>
          <w:ilvl w:val="0"/>
          <w:numId w:val="20"/>
        </w:numPr>
        <w:jc w:val="both"/>
        <w:rPr>
          <w:sz w:val="22"/>
        </w:rPr>
      </w:pPr>
      <w:r>
        <w:rPr>
          <w:sz w:val="22"/>
        </w:rPr>
        <w:t>La pose du module de comptage pour un raccordement de plus de 100 kVA</w:t>
      </w:r>
    </w:p>
    <w:p w:rsidR="002F5993" w:rsidRPr="002F5993" w:rsidRDefault="002F5993" w:rsidP="00BE1569">
      <w:pPr>
        <w:jc w:val="both"/>
        <w:rPr>
          <w:b/>
          <w:u w:val="single"/>
        </w:rPr>
      </w:pPr>
      <w:r w:rsidRPr="002F5993">
        <w:rPr>
          <w:b/>
          <w:u w:val="single"/>
        </w:rPr>
        <w:t>Ce forfait ne comprend pas</w:t>
      </w:r>
      <w:r>
        <w:rPr>
          <w:b/>
          <w:u w:val="single"/>
        </w:rPr>
        <w:t xml:space="preserve"> </w:t>
      </w:r>
      <w:r w:rsidRPr="002F5993">
        <w:rPr>
          <w:b/>
          <w:u w:val="single"/>
        </w:rPr>
        <w:t>:</w:t>
      </w:r>
    </w:p>
    <w:p w:rsidR="002F5993" w:rsidRPr="002F5993" w:rsidRDefault="002F5993" w:rsidP="009F645A">
      <w:pPr>
        <w:pStyle w:val="Paragraphedeliste"/>
        <w:numPr>
          <w:ilvl w:val="0"/>
          <w:numId w:val="21"/>
        </w:numPr>
        <w:jc w:val="both"/>
        <w:rPr>
          <w:sz w:val="22"/>
        </w:rPr>
      </w:pPr>
      <w:r w:rsidRPr="002F5993">
        <w:rPr>
          <w:sz w:val="22"/>
        </w:rPr>
        <w:t>L’inspection de l'installation du client par un organisme agréé en vue de sa réception et de sa mise en service</w:t>
      </w:r>
      <w:r>
        <w:rPr>
          <w:sz w:val="22"/>
        </w:rPr>
        <w:t xml:space="preserve"> </w:t>
      </w:r>
      <w:r w:rsidRPr="002F5993">
        <w:rPr>
          <w:sz w:val="22"/>
        </w:rPr>
        <w:t xml:space="preserve">;  </w:t>
      </w:r>
    </w:p>
    <w:p w:rsidR="002F5993" w:rsidRPr="002F5993" w:rsidRDefault="002F5993" w:rsidP="009F645A">
      <w:pPr>
        <w:pStyle w:val="Paragraphedeliste"/>
        <w:numPr>
          <w:ilvl w:val="0"/>
          <w:numId w:val="21"/>
        </w:numPr>
        <w:jc w:val="both"/>
        <w:rPr>
          <w:sz w:val="22"/>
        </w:rPr>
      </w:pPr>
      <w:r w:rsidRPr="002F5993">
        <w:rPr>
          <w:sz w:val="22"/>
        </w:rPr>
        <w:t>La fourniture et la pose d'un coffret ou d'un édicule en limite de propriété dans le cas d'un recul de l'immeuble (distance entre la limite de la propriété privée et le point de pénétration dans l'immeuble) supérieur à 25 m. Le barillet de la serrure est fourni par le GRD si d'application</w:t>
      </w:r>
      <w:r w:rsidR="00BE1569">
        <w:rPr>
          <w:sz w:val="22"/>
        </w:rPr>
        <w:t xml:space="preserv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9F645A">
      <w:pPr>
        <w:pStyle w:val="Paragraphedeliste"/>
        <w:numPr>
          <w:ilvl w:val="0"/>
          <w:numId w:val="21"/>
        </w:numPr>
        <w:jc w:val="both"/>
        <w:rPr>
          <w:sz w:val="22"/>
        </w:rPr>
      </w:pPr>
      <w:r w:rsidRPr="002F5993">
        <w:rPr>
          <w:sz w:val="22"/>
        </w:rPr>
        <w:t xml:space="preserve">La fourniture et la pose de la/des embase(s) du/des coffret(s) 25S60, de la borne interruptible (sectionneur) et le bloc de raccordement (à partir de 2 coffrets de comptage).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BE1569">
      <w:pPr>
        <w:jc w:val="both"/>
        <w:rPr>
          <w:b/>
          <w:u w:val="single"/>
        </w:rPr>
      </w:pPr>
      <w:r w:rsidRPr="002F5993">
        <w:rPr>
          <w:b/>
          <w:u w:val="single"/>
        </w:rPr>
        <w:t>Non compris dans le forfait, mais réalisé par le GRD :</w:t>
      </w:r>
    </w:p>
    <w:p w:rsidR="002F5993" w:rsidRDefault="002F5993" w:rsidP="009F645A">
      <w:pPr>
        <w:pStyle w:val="Paragraphedeliste"/>
        <w:numPr>
          <w:ilvl w:val="0"/>
          <w:numId w:val="22"/>
        </w:numPr>
        <w:jc w:val="both"/>
      </w:pPr>
      <w:r>
        <w:t>La mise à disposition d'impulsions pour l'utilisateur de réseau.</w:t>
      </w:r>
    </w:p>
    <w:p w:rsidR="003C1E54" w:rsidRDefault="003C1E54" w:rsidP="003C1E54">
      <w:pPr>
        <w:jc w:val="both"/>
      </w:pPr>
    </w:p>
    <w:p w:rsidR="00ED3F5C" w:rsidRPr="00BE1569" w:rsidRDefault="00ED3F5C" w:rsidP="00ED3F5C">
      <w:pPr>
        <w:rPr>
          <w:b/>
          <w:u w:val="single"/>
        </w:rPr>
      </w:pPr>
      <w:r w:rsidRPr="00BE1569">
        <w:rPr>
          <w:b/>
          <w:u w:val="single"/>
        </w:rPr>
        <w:t xml:space="preserve">Remarque : </w:t>
      </w:r>
    </w:p>
    <w:p w:rsidR="00ED3F5C" w:rsidRPr="00ED3F5C" w:rsidRDefault="00ED3F5C" w:rsidP="009F645A">
      <w:pPr>
        <w:pStyle w:val="Paragraphedeliste"/>
        <w:numPr>
          <w:ilvl w:val="0"/>
          <w:numId w:val="3"/>
        </w:numPr>
        <w:rPr>
          <w:sz w:val="22"/>
        </w:rPr>
      </w:pPr>
      <w:r w:rsidRPr="00ED3F5C">
        <w:rPr>
          <w:sz w:val="22"/>
        </w:rPr>
        <w:t>Le ou les compteurs restent propriété du GRD</w:t>
      </w:r>
    </w:p>
    <w:p w:rsidR="00ED3F5C" w:rsidRDefault="00ED3F5C" w:rsidP="009F645A">
      <w:pPr>
        <w:pStyle w:val="Paragraphedeliste"/>
        <w:numPr>
          <w:ilvl w:val="0"/>
          <w:numId w:val="3"/>
        </w:numPr>
        <w:rPr>
          <w:sz w:val="22"/>
        </w:rPr>
      </w:pPr>
      <w:r w:rsidRPr="00ED3F5C">
        <w:rPr>
          <w:sz w:val="22"/>
        </w:rPr>
        <w:t>Le terme C ne se substitue pas à la redevance de location de compteur</w:t>
      </w:r>
    </w:p>
    <w:p w:rsidR="00BE1569" w:rsidRPr="00BE1569" w:rsidRDefault="00BE1569" w:rsidP="009F645A">
      <w:pPr>
        <w:pStyle w:val="Paragraphedeliste"/>
        <w:numPr>
          <w:ilvl w:val="0"/>
          <w:numId w:val="3"/>
        </w:numPr>
        <w:rPr>
          <w:sz w:val="22"/>
        </w:rPr>
      </w:pPr>
      <w:r w:rsidRPr="00BE1569">
        <w:rPr>
          <w:sz w:val="22"/>
        </w:rPr>
        <w:t>L'ensemble des prescriptions techniques établies par le GRD doit être respecté.</w:t>
      </w:r>
    </w:p>
    <w:p w:rsidR="00BE1569" w:rsidRPr="00BE1569" w:rsidRDefault="00BE1569" w:rsidP="009F645A">
      <w:pPr>
        <w:pStyle w:val="Paragraphedeliste"/>
        <w:numPr>
          <w:ilvl w:val="0"/>
          <w:numId w:val="3"/>
        </w:numPr>
        <w:rPr>
          <w:sz w:val="22"/>
        </w:rPr>
      </w:pPr>
      <w:r w:rsidRPr="00BE1569">
        <w:rPr>
          <w:sz w:val="22"/>
        </w:rPr>
        <w:t>Les compteurs supplémentaires éventuels sont placés dans un ensemble suivant les prescriptions du GRD.</w:t>
      </w:r>
    </w:p>
    <w:p w:rsidR="00BE1569" w:rsidRPr="00BE1569" w:rsidRDefault="00BE1569" w:rsidP="009F645A">
      <w:pPr>
        <w:pStyle w:val="Paragraphedeliste"/>
        <w:numPr>
          <w:ilvl w:val="0"/>
          <w:numId w:val="3"/>
        </w:numPr>
        <w:rPr>
          <w:sz w:val="22"/>
        </w:rPr>
      </w:pPr>
      <w:r w:rsidRPr="00BE1569">
        <w:rPr>
          <w:sz w:val="22"/>
        </w:rPr>
        <w:t>Les comptages sont mesurés en basse tension.</w:t>
      </w:r>
    </w:p>
    <w:p w:rsidR="00BE1569" w:rsidRPr="00BE1569" w:rsidRDefault="00BE1569" w:rsidP="009F645A">
      <w:pPr>
        <w:pStyle w:val="Paragraphedeliste"/>
        <w:numPr>
          <w:ilvl w:val="0"/>
          <w:numId w:val="3"/>
        </w:numPr>
        <w:rPr>
          <w:sz w:val="22"/>
        </w:rPr>
      </w:pPr>
      <w:r w:rsidRPr="00BE1569">
        <w:rPr>
          <w:sz w:val="22"/>
        </w:rPr>
        <w:t>Pour des puissances ≥ 100 kVA : toujours comptage de type AMR (comptage télérelevé).</w:t>
      </w:r>
    </w:p>
    <w:p w:rsidR="00071BA3" w:rsidRDefault="00BE1569" w:rsidP="009F645A">
      <w:pPr>
        <w:pStyle w:val="Paragraphedeliste"/>
        <w:numPr>
          <w:ilvl w:val="0"/>
          <w:numId w:val="3"/>
        </w:numPr>
        <w:rPr>
          <w:sz w:val="22"/>
        </w:rPr>
      </w:pPr>
      <w:r w:rsidRPr="00BE1569">
        <w:rPr>
          <w:sz w:val="22"/>
        </w:rPr>
        <w:t xml:space="preserve">Pour des puissances &lt; </w:t>
      </w:r>
      <w:r w:rsidR="002173D7">
        <w:rPr>
          <w:sz w:val="22"/>
        </w:rPr>
        <w:t>100</w:t>
      </w:r>
      <w:r w:rsidRPr="00BE1569">
        <w:rPr>
          <w:sz w:val="22"/>
        </w:rPr>
        <w:t xml:space="preserve"> kVA : comptage de type YMR (relève annuelle).</w:t>
      </w:r>
    </w:p>
    <w:p w:rsidR="003C1E54" w:rsidRPr="00BE1569" w:rsidRDefault="003C1E54" w:rsidP="003C1E54">
      <w:pPr>
        <w:pStyle w:val="Paragraphedeliste"/>
        <w:ind w:left="720" w:firstLine="0"/>
        <w:rPr>
          <w:sz w:val="22"/>
        </w:rPr>
      </w:pPr>
    </w:p>
    <w:p w:rsidR="00ED3F5C" w:rsidRDefault="00ED3F5C" w:rsidP="009F645A">
      <w:pPr>
        <w:pStyle w:val="Titre3"/>
        <w:numPr>
          <w:ilvl w:val="2"/>
          <w:numId w:val="2"/>
        </w:numPr>
        <w:spacing w:after="240"/>
      </w:pPr>
      <w:r>
        <w:t>Divers</w:t>
      </w:r>
    </w:p>
    <w:p w:rsidR="00ED3F5C" w:rsidRDefault="00ED3F5C" w:rsidP="00ED3F5C">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B31560" w:rsidRDefault="00ED3F5C" w:rsidP="00ED3F5C">
      <w:pPr>
        <w:jc w:val="both"/>
      </w:pPr>
      <w:r>
        <w:t>Les prix du terme Divers concernent les travaux de câblage, de terrassement, d’accessoires ou de forage hors des composants du forfait.</w:t>
      </w:r>
      <w:r w:rsidR="00B31560">
        <w:t xml:space="preserve"> </w:t>
      </w:r>
    </w:p>
    <w:p w:rsidR="005063A8" w:rsidRDefault="005063A8" w:rsidP="00ED3F5C">
      <w:pPr>
        <w:jc w:val="both"/>
      </w:pPr>
    </w:p>
    <w:tbl>
      <w:tblPr>
        <w:tblW w:w="0" w:type="auto"/>
        <w:jc w:val="center"/>
        <w:tblCellMar>
          <w:left w:w="70" w:type="dxa"/>
          <w:right w:w="70" w:type="dxa"/>
        </w:tblCellMar>
        <w:tblLook w:val="04A0" w:firstRow="1" w:lastRow="0" w:firstColumn="1" w:lastColumn="0" w:noHBand="0" w:noVBand="1"/>
      </w:tblPr>
      <w:tblGrid>
        <w:gridCol w:w="6305"/>
        <w:gridCol w:w="1085"/>
      </w:tblGrid>
      <w:tr w:rsidR="007F7467" w:rsidRPr="007F7467" w:rsidTr="007F7467">
        <w:trPr>
          <w:trHeight w:val="330"/>
          <w:jc w:val="center"/>
        </w:trPr>
        <w:tc>
          <w:tcPr>
            <w:tcW w:w="0" w:type="auto"/>
            <w:gridSpan w:val="2"/>
            <w:tcBorders>
              <w:top w:val="single" w:sz="8" w:space="0" w:color="auto"/>
              <w:left w:val="single" w:sz="8" w:space="0" w:color="auto"/>
              <w:bottom w:val="nil"/>
              <w:right w:val="single" w:sz="8" w:space="0" w:color="000000"/>
            </w:tcBorders>
            <w:shd w:val="clear" w:color="000000" w:fill="2F75B5"/>
            <w:noWrap/>
            <w:vAlign w:val="center"/>
            <w:hideMark/>
          </w:tcPr>
          <w:p w:rsidR="007F7467" w:rsidRPr="007F7467" w:rsidRDefault="007F7467" w:rsidP="007F7467">
            <w:pPr>
              <w:spacing w:after="0" w:line="240" w:lineRule="auto"/>
              <w:jc w:val="center"/>
              <w:rPr>
                <w:rFonts w:ascii="Calibri" w:eastAsia="Times New Roman" w:hAnsi="Calibri" w:cs="Calibri"/>
                <w:b/>
                <w:bCs/>
                <w:color w:val="FFFFFF"/>
                <w:sz w:val="24"/>
                <w:szCs w:val="24"/>
              </w:rPr>
            </w:pPr>
            <w:r w:rsidRPr="007F7467">
              <w:rPr>
                <w:rFonts w:ascii="Calibri" w:eastAsia="Times New Roman" w:hAnsi="Calibri" w:cs="Calibri"/>
                <w:b/>
                <w:bCs/>
                <w:color w:val="FFFFFF"/>
                <w:sz w:val="24"/>
                <w:szCs w:val="24"/>
              </w:rPr>
              <w:t>D - Travaux hors forfait</w:t>
            </w:r>
          </w:p>
        </w:tc>
      </w:tr>
      <w:tr w:rsidR="007F7467" w:rsidRPr="007F7467" w:rsidTr="007F7467">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Fourniture et pose de câble souterrain</w:t>
            </w:r>
          </w:p>
        </w:tc>
      </w:tr>
      <w:tr w:rsidR="007F7467" w:rsidRPr="007F7467" w:rsidTr="007F7467">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EXVB 4x16 / m</w:t>
            </w:r>
          </w:p>
        </w:tc>
        <w:tc>
          <w:tcPr>
            <w:tcW w:w="0" w:type="auto"/>
            <w:tcBorders>
              <w:top w:val="nil"/>
              <w:left w:val="nil"/>
              <w:bottom w:val="single" w:sz="8" w:space="0" w:color="auto"/>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€ 14,05</w:t>
            </w:r>
          </w:p>
        </w:tc>
      </w:tr>
      <w:tr w:rsidR="007F7467" w:rsidRPr="007F7467" w:rsidTr="007F7467">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EXVB 4x25 / m</w:t>
            </w:r>
          </w:p>
        </w:tc>
        <w:tc>
          <w:tcPr>
            <w:tcW w:w="0" w:type="auto"/>
            <w:tcBorders>
              <w:top w:val="nil"/>
              <w:left w:val="nil"/>
              <w:bottom w:val="single" w:sz="8" w:space="0" w:color="auto"/>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€ 18,39</w:t>
            </w:r>
          </w:p>
        </w:tc>
      </w:tr>
      <w:tr w:rsidR="007F7467" w:rsidRPr="007F7467" w:rsidTr="007F7467">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EAXVB 4x95 / m</w:t>
            </w:r>
          </w:p>
        </w:tc>
        <w:tc>
          <w:tcPr>
            <w:tcW w:w="0" w:type="auto"/>
            <w:tcBorders>
              <w:top w:val="nil"/>
              <w:left w:val="nil"/>
              <w:bottom w:val="single" w:sz="8" w:space="0" w:color="auto"/>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€ 21,72</w:t>
            </w:r>
          </w:p>
        </w:tc>
      </w:tr>
      <w:tr w:rsidR="007F7467" w:rsidRPr="007F7467" w:rsidTr="007F7467">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Travaux de terrassement</w:t>
            </w:r>
          </w:p>
        </w:tc>
      </w:tr>
      <w:tr w:rsidR="007F7467" w:rsidRPr="007F7467" w:rsidTr="007F7467">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Tranchée en pleine terre / m</w:t>
            </w:r>
          </w:p>
        </w:tc>
        <w:tc>
          <w:tcPr>
            <w:tcW w:w="0" w:type="auto"/>
            <w:tcBorders>
              <w:top w:val="nil"/>
              <w:left w:val="nil"/>
              <w:bottom w:val="single" w:sz="8" w:space="0" w:color="auto"/>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€ 58,10</w:t>
            </w:r>
          </w:p>
        </w:tc>
      </w:tr>
      <w:tr w:rsidR="007F7467" w:rsidRPr="007F7467" w:rsidTr="007F7467">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de gaine / m</w:t>
            </w:r>
          </w:p>
        </w:tc>
        <w:tc>
          <w:tcPr>
            <w:tcW w:w="0" w:type="auto"/>
            <w:tcBorders>
              <w:top w:val="nil"/>
              <w:left w:val="nil"/>
              <w:bottom w:val="single" w:sz="8" w:space="0" w:color="auto"/>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€ 13,20</w:t>
            </w:r>
          </w:p>
        </w:tc>
      </w:tr>
      <w:tr w:rsidR="007F7467" w:rsidRPr="007F7467" w:rsidTr="007F7467">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Forage sous élément structurel </w:t>
            </w:r>
          </w:p>
        </w:tc>
        <w:tc>
          <w:tcPr>
            <w:tcW w:w="0" w:type="auto"/>
            <w:tcBorders>
              <w:top w:val="nil"/>
              <w:left w:val="nil"/>
              <w:bottom w:val="nil"/>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 </w:t>
            </w:r>
            <w:proofErr w:type="gramStart"/>
            <w:r w:rsidRPr="007F7467">
              <w:rPr>
                <w:rFonts w:ascii="Palatino Linotype" w:eastAsia="Times New Roman" w:hAnsi="Palatino Linotype" w:cs="Calibri"/>
                <w:color w:val="000000"/>
              </w:rPr>
              <w:t>sur</w:t>
            </w:r>
            <w:proofErr w:type="gramEnd"/>
            <w:r w:rsidRPr="007F7467">
              <w:rPr>
                <w:rFonts w:ascii="Palatino Linotype" w:eastAsia="Times New Roman" w:hAnsi="Palatino Linotype" w:cs="Calibri"/>
                <w:color w:val="000000"/>
              </w:rPr>
              <w:t xml:space="preserve"> devis </w:t>
            </w:r>
          </w:p>
        </w:tc>
      </w:tr>
      <w:tr w:rsidR="007F7467" w:rsidRPr="007F7467" w:rsidTr="007F7467">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Coffret et armoire sur terrain pivé</w:t>
            </w:r>
          </w:p>
        </w:tc>
      </w:tr>
      <w:tr w:rsidR="007F7467" w:rsidRPr="007F7467" w:rsidTr="007F7467">
        <w:trPr>
          <w:trHeight w:val="345"/>
          <w:jc w:val="center"/>
        </w:trPr>
        <w:tc>
          <w:tcPr>
            <w:tcW w:w="0" w:type="auto"/>
            <w:tcBorders>
              <w:top w:val="nil"/>
              <w:left w:val="single" w:sz="8" w:space="0" w:color="auto"/>
              <w:bottom w:val="nil"/>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d'une armoire de réseau BT</w:t>
            </w:r>
          </w:p>
        </w:tc>
        <w:tc>
          <w:tcPr>
            <w:tcW w:w="0" w:type="auto"/>
            <w:tcBorders>
              <w:top w:val="nil"/>
              <w:left w:val="nil"/>
              <w:bottom w:val="single" w:sz="8" w:space="0" w:color="auto"/>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€ 1.457,77</w:t>
            </w:r>
          </w:p>
        </w:tc>
      </w:tr>
      <w:tr w:rsidR="007F7467" w:rsidRPr="007F7467" w:rsidTr="007F7467">
        <w:trPr>
          <w:trHeight w:val="345"/>
          <w:jc w:val="center"/>
        </w:trPr>
        <w:tc>
          <w:tcPr>
            <w:tcW w:w="0" w:type="auto"/>
            <w:tcBorders>
              <w:top w:val="nil"/>
              <w:left w:val="single" w:sz="8" w:space="0" w:color="auto"/>
              <w:bottom w:val="single" w:sz="8" w:space="0" w:color="auto"/>
              <w:right w:val="single" w:sz="8" w:space="0" w:color="000000"/>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de l'embase du coffret 25S60 avec Elos 125 A</w:t>
            </w:r>
          </w:p>
        </w:tc>
        <w:tc>
          <w:tcPr>
            <w:tcW w:w="0" w:type="auto"/>
            <w:tcBorders>
              <w:top w:val="nil"/>
              <w:left w:val="nil"/>
              <w:bottom w:val="single" w:sz="8" w:space="0" w:color="auto"/>
              <w:right w:val="single" w:sz="8" w:space="0" w:color="auto"/>
            </w:tcBorders>
            <w:shd w:val="clear" w:color="auto" w:fill="auto"/>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€ 111,34</w:t>
            </w:r>
          </w:p>
        </w:tc>
      </w:tr>
    </w:tbl>
    <w:p w:rsidR="008E77CC" w:rsidRDefault="008E77CC" w:rsidP="00ED3F5C">
      <w:pPr>
        <w:jc w:val="both"/>
      </w:pPr>
    </w:p>
    <w:p w:rsidR="005063A8" w:rsidRDefault="005063A8" w:rsidP="00ED3F5C">
      <w:pPr>
        <w:jc w:val="both"/>
      </w:pPr>
    </w:p>
    <w:p w:rsidR="00323565" w:rsidRDefault="00323565" w:rsidP="00ED3F5C">
      <w:pPr>
        <w:jc w:val="both"/>
      </w:pPr>
    </w:p>
    <w:p w:rsidR="00C6216A" w:rsidRDefault="00C6216A" w:rsidP="00ED3F5C">
      <w:pPr>
        <w:jc w:val="both"/>
      </w:pPr>
    </w:p>
    <w:p w:rsidR="00C6216A" w:rsidRDefault="00C6216A" w:rsidP="00ED3F5C">
      <w:pPr>
        <w:jc w:val="both"/>
      </w:pPr>
    </w:p>
    <w:p w:rsidR="00C6216A" w:rsidRDefault="00C6216A" w:rsidP="00ED3F5C">
      <w:pPr>
        <w:jc w:val="both"/>
      </w:pPr>
    </w:p>
    <w:p w:rsidR="00E15B70" w:rsidRDefault="00E15B70" w:rsidP="005F439E">
      <w:pPr>
        <w:pStyle w:val="Titre2"/>
        <w:pageBreakBefore/>
        <w:numPr>
          <w:ilvl w:val="1"/>
          <w:numId w:val="1"/>
        </w:numPr>
      </w:pPr>
      <w:bookmarkStart w:id="2" w:name="_Toc524081175"/>
      <w:r w:rsidRPr="008E77CC">
        <w:t xml:space="preserve">Raccordement </w:t>
      </w:r>
      <w:r w:rsidR="00902FCD">
        <w:t xml:space="preserve">BT </w:t>
      </w:r>
      <w:r>
        <w:t>provisoire</w:t>
      </w:r>
      <w:bookmarkEnd w:id="2"/>
    </w:p>
    <w:p w:rsidR="008F0EDD" w:rsidRDefault="008F0EDD" w:rsidP="008F0EDD"/>
    <w:p w:rsidR="008F0EDD" w:rsidRPr="00441502" w:rsidRDefault="008F0EDD" w:rsidP="005F439E">
      <w:pPr>
        <w:jc w:val="both"/>
      </w:pPr>
      <w:r w:rsidRPr="00441502">
        <w:t>Raccordement provisoire (chantier) (prescription Synergrid C1/106</w:t>
      </w:r>
      <w:r w:rsidR="00441502" w:rsidRPr="00441502">
        <w:t>) :</w:t>
      </w:r>
    </w:p>
    <w:p w:rsidR="008F0EDD" w:rsidRPr="00441502" w:rsidRDefault="008F0EDD" w:rsidP="005F439E">
      <w:pPr>
        <w:jc w:val="both"/>
      </w:pPr>
      <w:r w:rsidRPr="00441502">
        <w:t xml:space="preserve">A la demande du client et à défaut de pouvoir réaliser un raccordement définitif au réseau de distribution, un raccordement provisoire peut être octroyé dans les limites de puissance disponible au départ du réseau de distribution du lieu de raccordement et des calibres des </w:t>
      </w:r>
      <w:r w:rsidR="00441502" w:rsidRPr="00441502">
        <w:t>protections disponibles</w:t>
      </w:r>
      <w:r w:rsidRPr="00441502">
        <w:t xml:space="preserve">. Son maintien ne pourra, sauf stipulation contraire du GRD, excéder 24 mois.    </w:t>
      </w:r>
    </w:p>
    <w:p w:rsidR="008F0EDD" w:rsidRPr="00441502" w:rsidRDefault="008F0EDD" w:rsidP="005F439E">
      <w:pPr>
        <w:jc w:val="both"/>
      </w:pPr>
      <w:r w:rsidRPr="00441502">
        <w:t>Le coût du raccordement provisoire, payable par anticipation est le cumul des deux éléments suivants :</w:t>
      </w:r>
    </w:p>
    <w:p w:rsidR="008F0EDD" w:rsidRPr="00441502" w:rsidRDefault="008F0EDD" w:rsidP="009F645A">
      <w:pPr>
        <w:pStyle w:val="Paragraphedeliste"/>
        <w:numPr>
          <w:ilvl w:val="0"/>
          <w:numId w:val="23"/>
        </w:numPr>
        <w:jc w:val="both"/>
        <w:rPr>
          <w:sz w:val="22"/>
        </w:rPr>
      </w:pPr>
      <w:r w:rsidRPr="00441502">
        <w:rPr>
          <w:sz w:val="22"/>
        </w:rPr>
        <w:t>Tarification de la prestation de pose et d’enlèvement du raccordement provisoire</w:t>
      </w:r>
      <w:r w:rsidR="00441502" w:rsidRPr="00441502">
        <w:rPr>
          <w:sz w:val="22"/>
        </w:rPr>
        <w:t> ;</w:t>
      </w:r>
    </w:p>
    <w:p w:rsidR="008F0EDD" w:rsidRPr="00441502" w:rsidRDefault="008F0EDD" w:rsidP="009F645A">
      <w:pPr>
        <w:pStyle w:val="Paragraphedeliste"/>
        <w:numPr>
          <w:ilvl w:val="0"/>
          <w:numId w:val="23"/>
        </w:numPr>
        <w:jc w:val="both"/>
        <w:rPr>
          <w:sz w:val="22"/>
        </w:rPr>
      </w:pPr>
      <w:r w:rsidRPr="00441502">
        <w:rPr>
          <w:sz w:val="22"/>
        </w:rPr>
        <w:t>Tarification de l’accès à la puissance électrique à savoir un montant forfaitaire par kVA et par mois (période de trente jours) d’utilisation du raccordement provisoire (voir prix ci-dessous</w:t>
      </w:r>
      <w:r w:rsidR="00441502" w:rsidRPr="00441502">
        <w:rPr>
          <w:sz w:val="22"/>
        </w:rPr>
        <w:t>) :</w:t>
      </w:r>
      <w:r w:rsidRPr="00441502">
        <w:rPr>
          <w:sz w:val="22"/>
        </w:rPr>
        <w:t xml:space="preserve"> </w:t>
      </w:r>
    </w:p>
    <w:p w:rsidR="008F0EDD" w:rsidRPr="00441502" w:rsidRDefault="008F0EDD" w:rsidP="005F439E">
      <w:pPr>
        <w:jc w:val="both"/>
      </w:pPr>
      <w:r w:rsidRPr="00441502">
        <w:t xml:space="preserve"> Le forfait est dû par mois (période d’utilisation de trente jours) et ce, dès la mise en service du raccordement provisoire. Pour toute période entamée, le forfait sera dû dans son </w:t>
      </w:r>
      <w:r w:rsidR="00441502" w:rsidRPr="00441502">
        <w:t>intégralité ;</w:t>
      </w:r>
    </w:p>
    <w:p w:rsidR="008F0EDD" w:rsidRPr="00441502" w:rsidRDefault="008F0EDD" w:rsidP="005F439E">
      <w:pPr>
        <w:jc w:val="both"/>
      </w:pPr>
      <w:r w:rsidRPr="00441502">
        <w:t xml:space="preserve">La puissance électrique mise à disposition ne peut être modifiée (augmentation ou diminution) durant la période d’utilisation du raccordement provisoire prévue au </w:t>
      </w:r>
      <w:r w:rsidR="00441502" w:rsidRPr="00441502">
        <w:t>contrat.</w:t>
      </w:r>
      <w:r w:rsidRPr="00441502">
        <w:t xml:space="preserve"> Toutefois, elle </w:t>
      </w:r>
      <w:r w:rsidR="00441502" w:rsidRPr="00441502">
        <w:t>pourra être</w:t>
      </w:r>
      <w:r w:rsidRPr="00441502">
        <w:t xml:space="preserve"> modifiée en cas de prolongation moyennant paiement préalable des coûts de modification du calibre de protection du raccordement</w:t>
      </w:r>
      <w:r w:rsidR="00441502" w:rsidRPr="00441502">
        <w:t> ;</w:t>
      </w:r>
    </w:p>
    <w:p w:rsidR="008F0EDD" w:rsidRPr="00441502" w:rsidRDefault="008F0EDD" w:rsidP="005F439E">
      <w:pPr>
        <w:jc w:val="both"/>
      </w:pPr>
      <w:r w:rsidRPr="00441502">
        <w:t>L’enlèvement du raccordement provisoire doit être demandé</w:t>
      </w:r>
      <w:r w:rsidR="00441502" w:rsidRPr="00441502">
        <w:t xml:space="preserve"> par courrier ;</w:t>
      </w:r>
    </w:p>
    <w:p w:rsidR="008F0EDD" w:rsidRPr="00441502" w:rsidRDefault="008F0EDD" w:rsidP="005F439E">
      <w:pPr>
        <w:jc w:val="both"/>
      </w:pPr>
      <w:r w:rsidRPr="00441502">
        <w:t xml:space="preserve">Si nécessaire, la prolongation de la période d’utilisation du raccordement doit être demandée 10 jours ouvrables avant la fin de la période d’utilisation prévue </w:t>
      </w:r>
      <w:r w:rsidR="00441502" w:rsidRPr="00441502">
        <w:t>initialement ;</w:t>
      </w:r>
    </w:p>
    <w:p w:rsidR="00441502" w:rsidRDefault="00441502" w:rsidP="005F439E">
      <w:pPr>
        <w:jc w:val="both"/>
      </w:pPr>
      <w:r w:rsidRPr="00441502">
        <w:t>Lorsque la</w:t>
      </w:r>
      <w:r w:rsidR="008F0EDD" w:rsidRPr="00441502">
        <w:t xml:space="preserve"> période de mise à disposition est révolue, le gestionnaire de réseau pourra interrompre la mise à disposition à tout </w:t>
      </w:r>
      <w:r w:rsidRPr="00441502">
        <w:t>moment ;</w:t>
      </w:r>
      <w:r w:rsidR="008F0EDD" w:rsidRPr="00441502">
        <w:t xml:space="preserve"> le client restant tenu au paiement du forfait mensuel prévu au </w:t>
      </w:r>
      <w:r w:rsidRPr="00441502">
        <w:t>contrat ;</w:t>
      </w:r>
    </w:p>
    <w:p w:rsidR="00441502" w:rsidRDefault="00441502" w:rsidP="005F439E">
      <w:pPr>
        <w:jc w:val="both"/>
        <w:rPr>
          <w:rFonts w:eastAsiaTheme="majorEastAsia"/>
        </w:rPr>
      </w:pPr>
      <w:r w:rsidRPr="00441502">
        <w:rPr>
          <w:rFonts w:eastAsiaTheme="majorEastAsia"/>
        </w:rPr>
        <w:t>Le branchement, la mise en service du raccordement ont lieu durant les heures ouvrables</w:t>
      </w:r>
      <w:r>
        <w:rPr>
          <w:rFonts w:eastAsiaTheme="majorEastAsia"/>
        </w:rPr>
        <w:t>.</w:t>
      </w:r>
    </w:p>
    <w:p w:rsidR="00441502" w:rsidRDefault="00441502" w:rsidP="005F439E">
      <w:pPr>
        <w:jc w:val="both"/>
      </w:pPr>
      <w:r w:rsidRPr="00441502">
        <w:rPr>
          <w:rFonts w:eastAsiaTheme="majorEastAsia"/>
        </w:rPr>
        <w:t>Le branchement est soumis aux prescriptions techniques Synergrid (Art C1/113)</w:t>
      </w:r>
      <w:r>
        <w:rPr>
          <w:rFonts w:eastAsiaTheme="majorEastAsia"/>
        </w:rPr>
        <w:t>.</w:t>
      </w:r>
    </w:p>
    <w:p w:rsidR="00441502" w:rsidRPr="00441502" w:rsidRDefault="00441502" w:rsidP="005F439E">
      <w:pPr>
        <w:jc w:val="both"/>
      </w:pPr>
      <w:r w:rsidRPr="00441502">
        <w:rPr>
          <w:rFonts w:eastAsiaTheme="majorEastAsia"/>
        </w:rPr>
        <w:t>Toute intervention en dehors des heures ouvrables fera l’objet d’un complément de facturation</w:t>
      </w:r>
      <w:r>
        <w:rPr>
          <w:rFonts w:eastAsiaTheme="majorEastAsia"/>
        </w:rPr>
        <w:t>.</w:t>
      </w:r>
    </w:p>
    <w:tbl>
      <w:tblPr>
        <w:tblW w:w="0" w:type="auto"/>
        <w:jc w:val="center"/>
        <w:tblCellMar>
          <w:left w:w="70" w:type="dxa"/>
          <w:right w:w="70" w:type="dxa"/>
        </w:tblCellMar>
        <w:tblLook w:val="04A0" w:firstRow="1" w:lastRow="0" w:firstColumn="1" w:lastColumn="0" w:noHBand="0" w:noVBand="1"/>
      </w:tblPr>
      <w:tblGrid>
        <w:gridCol w:w="1690"/>
      </w:tblGrid>
      <w:tr w:rsidR="006E15A7" w:rsidRPr="006E15A7" w:rsidTr="006E15A7">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6E15A7" w:rsidRPr="006E15A7" w:rsidRDefault="006E15A7" w:rsidP="006E15A7">
            <w:pPr>
              <w:spacing w:after="0" w:line="240" w:lineRule="auto"/>
              <w:jc w:val="center"/>
              <w:rPr>
                <w:rFonts w:ascii="Calibri" w:eastAsia="Times New Roman" w:hAnsi="Calibri" w:cs="Calibri"/>
                <w:b/>
                <w:bCs/>
                <w:color w:val="000000"/>
              </w:rPr>
            </w:pPr>
            <w:r w:rsidRPr="006E15A7">
              <w:rPr>
                <w:rFonts w:ascii="Calibri" w:eastAsia="Times New Roman" w:hAnsi="Calibri" w:cs="Calibri"/>
                <w:b/>
                <w:bCs/>
                <w:color w:val="000000"/>
              </w:rPr>
              <w:t>A'</w:t>
            </w:r>
          </w:p>
        </w:tc>
      </w:tr>
      <w:tr w:rsidR="006E15A7" w:rsidRPr="006E15A7" w:rsidTr="006E15A7">
        <w:trPr>
          <w:trHeight w:val="315"/>
          <w:jc w:val="center"/>
        </w:trPr>
        <w:tc>
          <w:tcPr>
            <w:tcW w:w="0" w:type="auto"/>
            <w:tcBorders>
              <w:top w:val="nil"/>
              <w:left w:val="single" w:sz="8" w:space="0" w:color="auto"/>
              <w:bottom w:val="nil"/>
              <w:right w:val="single" w:sz="8" w:space="0" w:color="auto"/>
            </w:tcBorders>
            <w:shd w:val="clear" w:color="000000" w:fill="BFBFBF"/>
            <w:noWrap/>
            <w:vAlign w:val="center"/>
            <w:hideMark/>
          </w:tcPr>
          <w:p w:rsidR="006E15A7" w:rsidRPr="006E15A7" w:rsidRDefault="006E15A7" w:rsidP="006E15A7">
            <w:pPr>
              <w:spacing w:after="0" w:line="240" w:lineRule="auto"/>
              <w:jc w:val="center"/>
              <w:rPr>
                <w:rFonts w:ascii="Calibri" w:eastAsia="Times New Roman" w:hAnsi="Calibri" w:cs="Calibri"/>
                <w:b/>
                <w:bCs/>
                <w:color w:val="000000"/>
              </w:rPr>
            </w:pPr>
            <w:r w:rsidRPr="006E15A7">
              <w:rPr>
                <w:rFonts w:ascii="Calibri" w:eastAsia="Times New Roman" w:hAnsi="Calibri" w:cs="Calibri"/>
                <w:b/>
                <w:bCs/>
                <w:color w:val="000000"/>
              </w:rPr>
              <w:t>Accès au réseau</w:t>
            </w:r>
          </w:p>
        </w:tc>
      </w:tr>
      <w:tr w:rsidR="006E15A7" w:rsidRPr="006E15A7" w:rsidTr="006E15A7">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15A7" w:rsidRPr="006E15A7" w:rsidRDefault="006E15A7" w:rsidP="006E15A7">
            <w:pPr>
              <w:spacing w:after="0" w:line="240" w:lineRule="auto"/>
              <w:jc w:val="center"/>
              <w:rPr>
                <w:rFonts w:ascii="Calibri" w:eastAsia="Times New Roman" w:hAnsi="Calibri" w:cs="Calibri"/>
                <w:b/>
                <w:bCs/>
                <w:color w:val="000000"/>
              </w:rPr>
            </w:pPr>
            <w:r w:rsidRPr="006E15A7">
              <w:rPr>
                <w:rFonts w:ascii="Calibri" w:eastAsia="Times New Roman" w:hAnsi="Calibri" w:cs="Calibri"/>
                <w:b/>
                <w:bCs/>
                <w:color w:val="000000"/>
              </w:rPr>
              <w:t>6,31 €/kVA/mois</w:t>
            </w:r>
          </w:p>
        </w:tc>
      </w:tr>
    </w:tbl>
    <w:p w:rsidR="00441502" w:rsidRPr="008F0EDD" w:rsidRDefault="00441502" w:rsidP="008F0EDD"/>
    <w:p w:rsidR="00E15B70" w:rsidRDefault="00E15B70" w:rsidP="00E15B70"/>
    <w:tbl>
      <w:tblPr>
        <w:tblW w:w="0" w:type="auto"/>
        <w:jc w:val="center"/>
        <w:tblCellMar>
          <w:left w:w="70" w:type="dxa"/>
          <w:right w:w="70" w:type="dxa"/>
        </w:tblCellMar>
        <w:tblLook w:val="04A0" w:firstRow="1" w:lastRow="0" w:firstColumn="1" w:lastColumn="0" w:noHBand="0" w:noVBand="1"/>
      </w:tblPr>
      <w:tblGrid>
        <w:gridCol w:w="9007"/>
        <w:gridCol w:w="780"/>
      </w:tblGrid>
      <w:tr w:rsidR="007F7467" w:rsidRPr="007F7467" w:rsidTr="007F7467">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Raccordement provisoire</w:t>
            </w:r>
          </w:p>
        </w:tc>
      </w:tr>
      <w:tr w:rsidR="007F7467" w:rsidRPr="007F7467" w:rsidTr="007F74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467" w:rsidRPr="007F7467" w:rsidRDefault="007F7467" w:rsidP="007F7467">
            <w:pPr>
              <w:spacing w:after="0" w:line="240" w:lineRule="auto"/>
              <w:rPr>
                <w:rFonts w:ascii="Calibri" w:eastAsia="Times New Roman" w:hAnsi="Calibri" w:cs="Calibri"/>
                <w:color w:val="000000"/>
              </w:rPr>
            </w:pPr>
            <w:r w:rsidRPr="007F7467">
              <w:rPr>
                <w:rFonts w:ascii="Calibri" w:eastAsia="Times New Roman" w:hAnsi="Calibri" w:cs="Calibri"/>
                <w:color w:val="000000"/>
              </w:rPr>
              <w:t>Raccordement armoire de chantier sur câble provisoire et pose d'un compteur provisoire (y compris enlèvement du raccordement et du compteur) ≤ 63 A</w:t>
            </w:r>
          </w:p>
        </w:tc>
        <w:tc>
          <w:tcPr>
            <w:tcW w:w="0" w:type="auto"/>
            <w:tcBorders>
              <w:top w:val="nil"/>
              <w:left w:val="nil"/>
              <w:bottom w:val="single" w:sz="4"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A' + 569 €</w:t>
            </w:r>
          </w:p>
        </w:tc>
      </w:tr>
      <w:tr w:rsidR="007F7467" w:rsidRPr="007F7467" w:rsidTr="007F74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467" w:rsidRPr="007F7467" w:rsidRDefault="007F7467" w:rsidP="007F7467">
            <w:pPr>
              <w:spacing w:after="0" w:line="240" w:lineRule="auto"/>
              <w:rPr>
                <w:rFonts w:ascii="Calibri" w:eastAsia="Times New Roman" w:hAnsi="Calibri" w:cs="Calibri"/>
                <w:color w:val="000000"/>
              </w:rPr>
            </w:pPr>
            <w:r w:rsidRPr="007F7467">
              <w:rPr>
                <w:rFonts w:ascii="Calibri" w:eastAsia="Times New Roman" w:hAnsi="Calibri" w:cs="Calibri"/>
                <w:color w:val="000000"/>
              </w:rPr>
              <w:t>Raccordement armoire de chantier sur câble provisoire et pose d'un compteur provisoire (y compris enlèvement du raccordement et du compteur) &gt; 63 A</w:t>
            </w:r>
          </w:p>
        </w:tc>
        <w:tc>
          <w:tcPr>
            <w:tcW w:w="0" w:type="auto"/>
            <w:tcBorders>
              <w:top w:val="nil"/>
              <w:left w:val="nil"/>
              <w:bottom w:val="single" w:sz="4"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A' + 741 €</w:t>
            </w:r>
          </w:p>
        </w:tc>
      </w:tr>
      <w:tr w:rsidR="007F7467" w:rsidRPr="007F7467" w:rsidTr="007F74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467" w:rsidRPr="007F7467" w:rsidRDefault="007F7467" w:rsidP="007F7467">
            <w:pPr>
              <w:spacing w:after="0" w:line="240" w:lineRule="auto"/>
              <w:rPr>
                <w:rFonts w:ascii="Calibri" w:eastAsia="Times New Roman" w:hAnsi="Calibri" w:cs="Calibri"/>
                <w:color w:val="000000"/>
              </w:rPr>
            </w:pPr>
            <w:r w:rsidRPr="007F7467">
              <w:rPr>
                <w:rFonts w:ascii="Calibri" w:eastAsia="Times New Roman" w:hAnsi="Calibri" w:cs="Calibri"/>
                <w:color w:val="000000"/>
              </w:rPr>
              <w:t>Raccordement armoire de chantier sur câble définitif et pose d'un compteur provisoire (y compris enlèvement du compteur provisoire) ≤ 63 A</w:t>
            </w:r>
          </w:p>
        </w:tc>
        <w:tc>
          <w:tcPr>
            <w:tcW w:w="0" w:type="auto"/>
            <w:tcBorders>
              <w:top w:val="nil"/>
              <w:left w:val="nil"/>
              <w:bottom w:val="single" w:sz="4"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A' + 1138 €</w:t>
            </w:r>
          </w:p>
        </w:tc>
      </w:tr>
      <w:tr w:rsidR="007F7467" w:rsidRPr="007F7467" w:rsidTr="007F74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467" w:rsidRPr="007F7467" w:rsidRDefault="007F7467" w:rsidP="007F7467">
            <w:pPr>
              <w:spacing w:after="0" w:line="240" w:lineRule="auto"/>
              <w:rPr>
                <w:rFonts w:ascii="Calibri" w:eastAsia="Times New Roman" w:hAnsi="Calibri" w:cs="Calibri"/>
                <w:color w:val="000000"/>
              </w:rPr>
            </w:pPr>
            <w:r w:rsidRPr="007F7467">
              <w:rPr>
                <w:rFonts w:ascii="Calibri" w:eastAsia="Times New Roman" w:hAnsi="Calibri" w:cs="Calibri"/>
                <w:color w:val="000000"/>
              </w:rPr>
              <w:t>Raccordement armoire de chantier sur câble définitif et pose d'un compteur provisoire (y compris enlèvement du compteur provisoire) &gt; 63 A</w:t>
            </w:r>
          </w:p>
        </w:tc>
        <w:tc>
          <w:tcPr>
            <w:tcW w:w="0" w:type="auto"/>
            <w:tcBorders>
              <w:top w:val="nil"/>
              <w:left w:val="nil"/>
              <w:bottom w:val="single" w:sz="4"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A' + 1483 €</w:t>
            </w:r>
          </w:p>
        </w:tc>
      </w:tr>
      <w:tr w:rsidR="007F7467" w:rsidRPr="007F7467" w:rsidTr="007F7467">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7F7467" w:rsidRPr="007F7467" w:rsidRDefault="007F7467" w:rsidP="007F7467">
            <w:pPr>
              <w:spacing w:after="0" w:line="240" w:lineRule="auto"/>
              <w:rPr>
                <w:rFonts w:ascii="Calibri" w:eastAsia="Times New Roman" w:hAnsi="Calibri" w:cs="Calibri"/>
                <w:color w:val="000000"/>
              </w:rPr>
            </w:pPr>
            <w:r w:rsidRPr="007F7467">
              <w:rPr>
                <w:rFonts w:ascii="Calibri" w:eastAsia="Times New Roman" w:hAnsi="Calibri" w:cs="Calibri"/>
                <w:color w:val="000000"/>
              </w:rPr>
              <w:t>Pose d'un compteur provisoire sur un raccordement existant ≤ 63 A</w:t>
            </w:r>
          </w:p>
        </w:tc>
        <w:tc>
          <w:tcPr>
            <w:tcW w:w="0" w:type="auto"/>
            <w:tcBorders>
              <w:top w:val="nil"/>
              <w:left w:val="nil"/>
              <w:bottom w:val="single" w:sz="4"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A' + 112 €</w:t>
            </w:r>
          </w:p>
        </w:tc>
      </w:tr>
      <w:tr w:rsidR="007F7467" w:rsidRPr="007F7467" w:rsidTr="007F7467">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7F7467" w:rsidRPr="007F7467" w:rsidRDefault="007F7467" w:rsidP="007F7467">
            <w:pPr>
              <w:spacing w:after="0" w:line="240" w:lineRule="auto"/>
              <w:rPr>
                <w:rFonts w:ascii="Calibri" w:eastAsia="Times New Roman" w:hAnsi="Calibri" w:cs="Calibri"/>
                <w:color w:val="000000"/>
              </w:rPr>
            </w:pPr>
            <w:r w:rsidRPr="007F7467">
              <w:rPr>
                <w:rFonts w:ascii="Calibri" w:eastAsia="Times New Roman" w:hAnsi="Calibri" w:cs="Calibri"/>
                <w:color w:val="000000"/>
              </w:rPr>
              <w:t>Pose d'un compteur provisoire sur un raccordement existant &gt; 63 A</w:t>
            </w:r>
          </w:p>
        </w:tc>
        <w:tc>
          <w:tcPr>
            <w:tcW w:w="0" w:type="auto"/>
            <w:tcBorders>
              <w:top w:val="nil"/>
              <w:left w:val="nil"/>
              <w:bottom w:val="single" w:sz="4"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Calibri" w:eastAsia="Times New Roman" w:hAnsi="Calibri" w:cs="Calibri"/>
                <w:color w:val="000000"/>
              </w:rPr>
            </w:pPr>
            <w:r w:rsidRPr="007F7467">
              <w:rPr>
                <w:rFonts w:ascii="Calibri" w:eastAsia="Times New Roman" w:hAnsi="Calibri" w:cs="Calibri"/>
                <w:color w:val="000000"/>
              </w:rPr>
              <w:t>A' + 488 €</w:t>
            </w:r>
          </w:p>
        </w:tc>
      </w:tr>
    </w:tbl>
    <w:p w:rsidR="00441502" w:rsidRDefault="00441502" w:rsidP="00E15B70"/>
    <w:p w:rsidR="00E15B70" w:rsidRDefault="00E15B70" w:rsidP="00E15B70">
      <w:pPr>
        <w:jc w:val="both"/>
        <w:rPr>
          <w:rFonts w:eastAsiaTheme="majorEastAsia"/>
        </w:rPr>
      </w:pPr>
    </w:p>
    <w:p w:rsidR="00441502" w:rsidRDefault="00441502" w:rsidP="00E15B70">
      <w:pPr>
        <w:jc w:val="both"/>
        <w:rPr>
          <w:rFonts w:eastAsiaTheme="majorEastAsia"/>
        </w:rPr>
      </w:pPr>
    </w:p>
    <w:p w:rsidR="00441502" w:rsidRDefault="00441502" w:rsidP="00E15B70">
      <w:pPr>
        <w:jc w:val="both"/>
        <w:rPr>
          <w:rFonts w:eastAsiaTheme="majorEastAsia"/>
        </w:rPr>
      </w:pPr>
    </w:p>
    <w:p w:rsidR="00BE5245" w:rsidRDefault="00442BB7" w:rsidP="009F645A">
      <w:pPr>
        <w:pStyle w:val="Titre2"/>
        <w:pageBreakBefore/>
        <w:numPr>
          <w:ilvl w:val="1"/>
          <w:numId w:val="12"/>
        </w:numPr>
        <w:spacing w:after="240"/>
      </w:pPr>
      <w:bookmarkStart w:id="3" w:name="_Ref523843118"/>
      <w:bookmarkStart w:id="4" w:name="_Toc524081176"/>
      <w:r>
        <w:t>Viabilisation de terrain</w:t>
      </w:r>
      <w:bookmarkEnd w:id="3"/>
      <w:bookmarkEnd w:id="4"/>
    </w:p>
    <w:p w:rsidR="005E129C" w:rsidRDefault="005E129C" w:rsidP="005E129C">
      <w:pPr>
        <w:jc w:val="both"/>
      </w:pPr>
      <w:r>
        <w:t xml:space="preserve">Par </w:t>
      </w:r>
      <w:r w:rsidR="003C1E54">
        <w:t>viabilisation de terrain</w:t>
      </w:r>
      <w:r>
        <w:t xml:space="preserve">, on entend l’équipement du </w:t>
      </w:r>
      <w:r w:rsidR="003C1E54">
        <w:t>terrain</w:t>
      </w:r>
      <w:r>
        <w:t xml:space="preserve"> d’infrastructure réseau permettant le raccordement au réseau de distribution BT &lt;1kV du GRD (gestionnaire de réseau de distribution) de chaqu</w:t>
      </w:r>
      <w:r w:rsidR="00781810">
        <w:t xml:space="preserve">e </w:t>
      </w:r>
      <w:r w:rsidR="003C1E54">
        <w:t>parcelle</w:t>
      </w:r>
      <w:r>
        <w:t>.</w:t>
      </w:r>
    </w:p>
    <w:p w:rsidR="00335BF7" w:rsidRDefault="00335BF7" w:rsidP="005E129C">
      <w:pPr>
        <w:jc w:val="both"/>
      </w:pPr>
      <w:r>
        <w:t>Voir le détail dans le règlement pour la viabilisation de terrain de l’AIESH.</w:t>
      </w:r>
    </w:p>
    <w:p w:rsidR="00B75C5E" w:rsidRPr="00B75C5E" w:rsidRDefault="0081744B" w:rsidP="009F645A">
      <w:pPr>
        <w:pStyle w:val="Titre3"/>
        <w:numPr>
          <w:ilvl w:val="2"/>
          <w:numId w:val="4"/>
        </w:numPr>
        <w:spacing w:after="240"/>
      </w:pPr>
      <w:r>
        <w:t>Frais d’ouverture de dossier et d’Etude</w:t>
      </w:r>
    </w:p>
    <w:tbl>
      <w:tblPr>
        <w:tblStyle w:val="Grilledutableau"/>
        <w:tblW w:w="0" w:type="auto"/>
        <w:tblLook w:val="04A0" w:firstRow="1" w:lastRow="0" w:firstColumn="1" w:lastColumn="0" w:noHBand="0" w:noVBand="1"/>
      </w:tblPr>
      <w:tblGrid>
        <w:gridCol w:w="6807"/>
        <w:gridCol w:w="2990"/>
      </w:tblGrid>
      <w:tr w:rsidR="0081744B" w:rsidRPr="00F66F20" w:rsidTr="00402FFF">
        <w:tc>
          <w:tcPr>
            <w:tcW w:w="6912" w:type="dxa"/>
            <w:vAlign w:val="center"/>
          </w:tcPr>
          <w:p w:rsidR="0081744B" w:rsidRPr="00F66F20" w:rsidRDefault="0081744B" w:rsidP="00402FFF">
            <w:pPr>
              <w:rPr>
                <w:b/>
              </w:rPr>
            </w:pPr>
            <w:r>
              <w:rPr>
                <w:b/>
              </w:rPr>
              <w:t>Frais d’ouverture de dossier par demandeur</w:t>
            </w:r>
          </w:p>
        </w:tc>
        <w:tc>
          <w:tcPr>
            <w:tcW w:w="3035" w:type="dxa"/>
            <w:vAlign w:val="center"/>
          </w:tcPr>
          <w:p w:rsidR="0081744B" w:rsidRPr="00F66F20" w:rsidRDefault="0081744B" w:rsidP="00402FFF">
            <w:pPr>
              <w:jc w:val="center"/>
              <w:rPr>
                <w:b/>
              </w:rPr>
            </w:pPr>
            <w:r>
              <w:rPr>
                <w:b/>
              </w:rPr>
              <w:t>250 €</w:t>
            </w:r>
          </w:p>
        </w:tc>
      </w:tr>
      <w:tr w:rsidR="0081744B" w:rsidRPr="00F66F20" w:rsidTr="00402FFF">
        <w:tc>
          <w:tcPr>
            <w:tcW w:w="6912" w:type="dxa"/>
            <w:vAlign w:val="center"/>
          </w:tcPr>
          <w:p w:rsidR="0081744B" w:rsidRPr="00F66F20" w:rsidRDefault="0081744B" w:rsidP="00402FFF">
            <w:pPr>
              <w:rPr>
                <w:b/>
              </w:rPr>
            </w:pPr>
            <w:r>
              <w:rPr>
                <w:b/>
              </w:rPr>
              <w:t>Frais d’étude</w:t>
            </w:r>
          </w:p>
        </w:tc>
        <w:tc>
          <w:tcPr>
            <w:tcW w:w="3035" w:type="dxa"/>
            <w:vAlign w:val="center"/>
          </w:tcPr>
          <w:p w:rsidR="0081744B" w:rsidRPr="00F66F20" w:rsidRDefault="0081744B" w:rsidP="00402F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Pr>
                <w:b/>
              </w:rPr>
              <w:t>2</w:t>
            </w:r>
            <w:r>
              <w:rPr>
                <w:b/>
              </w:rPr>
              <w:fldChar w:fldCharType="end"/>
            </w:r>
          </w:p>
        </w:tc>
      </w:tr>
    </w:tbl>
    <w:p w:rsidR="0081744B" w:rsidRDefault="0081744B" w:rsidP="005E129C"/>
    <w:p w:rsidR="0081744B" w:rsidRDefault="0081744B" w:rsidP="009F645A">
      <w:pPr>
        <w:pStyle w:val="Titre3"/>
        <w:numPr>
          <w:ilvl w:val="2"/>
          <w:numId w:val="4"/>
        </w:numPr>
        <w:spacing w:after="240"/>
      </w:pPr>
      <w:r>
        <w:t>Coûts des travaux d’électrification</w:t>
      </w:r>
    </w:p>
    <w:tbl>
      <w:tblPr>
        <w:tblW w:w="0" w:type="auto"/>
        <w:tblInd w:w="70" w:type="dxa"/>
        <w:tblCellMar>
          <w:left w:w="70" w:type="dxa"/>
          <w:right w:w="70" w:type="dxa"/>
        </w:tblCellMar>
        <w:tblLook w:val="04A0" w:firstRow="1" w:lastRow="0" w:firstColumn="1" w:lastColumn="0" w:noHBand="0" w:noVBand="1"/>
      </w:tblPr>
      <w:tblGrid>
        <w:gridCol w:w="8803"/>
        <w:gridCol w:w="914"/>
      </w:tblGrid>
      <w:tr w:rsidR="00CF5C6B" w:rsidRPr="00CF5C6B" w:rsidTr="00CF5C6B">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5C6B" w:rsidRPr="00CF5C6B" w:rsidRDefault="00CF5C6B" w:rsidP="00CF5C6B">
            <w:pPr>
              <w:spacing w:after="0" w:line="240" w:lineRule="auto"/>
              <w:jc w:val="center"/>
              <w:rPr>
                <w:rFonts w:ascii="Calibri" w:eastAsia="Times New Roman" w:hAnsi="Calibri" w:cs="Calibri"/>
                <w:b/>
                <w:bCs/>
                <w:color w:val="000000"/>
              </w:rPr>
            </w:pPr>
            <w:r w:rsidRPr="00CF5C6B">
              <w:rPr>
                <w:rFonts w:ascii="Calibri" w:eastAsia="Times New Roman" w:hAnsi="Calibri" w:cs="Calibri"/>
                <w:b/>
                <w:bCs/>
                <w:color w:val="000000"/>
              </w:rPr>
              <w:t>Equipement électrique (prix par mètre HTVA)</w:t>
            </w:r>
          </w:p>
        </w:tc>
      </w:tr>
      <w:tr w:rsidR="00CF5C6B" w:rsidRPr="00CF5C6B" w:rsidTr="00CF5C6B">
        <w:trPr>
          <w:trHeight w:val="615"/>
        </w:trPr>
        <w:tc>
          <w:tcPr>
            <w:tcW w:w="0" w:type="auto"/>
            <w:tcBorders>
              <w:top w:val="nil"/>
              <w:left w:val="single" w:sz="8" w:space="0" w:color="auto"/>
              <w:bottom w:val="single" w:sz="8" w:space="0" w:color="000000"/>
              <w:right w:val="nil"/>
            </w:tcBorders>
            <w:shd w:val="clear" w:color="auto" w:fill="auto"/>
            <w:vAlign w:val="center"/>
            <w:hideMark/>
          </w:tcPr>
          <w:p w:rsidR="00CF5C6B" w:rsidRPr="00CF5C6B" w:rsidRDefault="00CF5C6B" w:rsidP="00CF5C6B">
            <w:pPr>
              <w:spacing w:after="0" w:line="240" w:lineRule="auto"/>
              <w:rPr>
                <w:rFonts w:ascii="Calibri" w:eastAsia="Times New Roman" w:hAnsi="Calibri" w:cs="Calibri"/>
                <w:color w:val="000000"/>
              </w:rPr>
            </w:pPr>
            <w:r w:rsidRPr="00CF5C6B">
              <w:rPr>
                <w:rFonts w:ascii="Calibri" w:eastAsia="Times New Roman" w:hAnsi="Calibri" w:cs="Calibri"/>
                <w:color w:val="000000"/>
              </w:rPr>
              <w:t>Viabilisation le long de nouvelles voiries (tranchée mise à dispo par le demandeur), ou le long de voirie existante ou privée</w:t>
            </w:r>
          </w:p>
        </w:tc>
        <w:tc>
          <w:tcPr>
            <w:tcW w:w="0" w:type="auto"/>
            <w:tcBorders>
              <w:top w:val="nil"/>
              <w:left w:val="single" w:sz="8" w:space="0" w:color="auto"/>
              <w:bottom w:val="single" w:sz="8" w:space="0" w:color="000000"/>
              <w:right w:val="single" w:sz="8" w:space="0" w:color="auto"/>
            </w:tcBorders>
            <w:shd w:val="clear" w:color="auto" w:fill="auto"/>
            <w:noWrap/>
            <w:vAlign w:val="center"/>
            <w:hideMark/>
          </w:tcPr>
          <w:p w:rsidR="00CF5C6B" w:rsidRPr="00CF5C6B" w:rsidRDefault="006E15A7" w:rsidP="00CF5C6B">
            <w:pPr>
              <w:spacing w:after="0" w:line="240" w:lineRule="auto"/>
              <w:jc w:val="right"/>
              <w:rPr>
                <w:rFonts w:ascii="Calibri" w:eastAsia="Times New Roman" w:hAnsi="Calibri" w:cs="Calibri"/>
                <w:color w:val="000000"/>
              </w:rPr>
            </w:pPr>
            <w:r w:rsidRPr="006E15A7">
              <w:rPr>
                <w:rFonts w:ascii="Calibri" w:eastAsia="Times New Roman" w:hAnsi="Calibri" w:cs="Calibri"/>
                <w:color w:val="000000"/>
              </w:rPr>
              <w:t>139,</w:t>
            </w:r>
            <w:r w:rsidR="007F7467">
              <w:rPr>
                <w:rFonts w:ascii="Calibri" w:eastAsia="Times New Roman" w:hAnsi="Calibri" w:cs="Calibri"/>
                <w:color w:val="000000"/>
              </w:rPr>
              <w:t>16</w:t>
            </w:r>
            <w:r w:rsidRPr="006E15A7">
              <w:rPr>
                <w:rFonts w:ascii="Calibri" w:eastAsia="Times New Roman" w:hAnsi="Calibri" w:cs="Calibri"/>
                <w:color w:val="000000"/>
              </w:rPr>
              <w:t xml:space="preserve"> €</w:t>
            </w:r>
          </w:p>
        </w:tc>
      </w:tr>
    </w:tbl>
    <w:p w:rsidR="00BD5CE9" w:rsidRDefault="00BD5CE9" w:rsidP="00E90A6A">
      <w:pPr>
        <w:jc w:val="both"/>
        <w:rPr>
          <w:b/>
        </w:rPr>
      </w:pPr>
    </w:p>
    <w:p w:rsidR="00BD5CE9" w:rsidRPr="00BD5CE9" w:rsidRDefault="00BD5CE9" w:rsidP="00E90A6A">
      <w:pPr>
        <w:jc w:val="both"/>
      </w:pPr>
      <w:r>
        <w:t>Ce forfait ne comprend pas l</w:t>
      </w:r>
      <w:r w:rsidRPr="00BD5CE9">
        <w:t>a réalisation des travaux de terrassement</w:t>
      </w:r>
      <w:r>
        <w:t xml:space="preserve"> </w:t>
      </w:r>
      <w:r w:rsidRPr="00BD5CE9">
        <w:t>(selon prescriptions du GRD). Ce travail peut être réalisé par le GRD à la demande de l'utilisateur de réseau moyennant un supplément de prix présenté en Divers ;</w:t>
      </w:r>
    </w:p>
    <w:p w:rsidR="00BD5CE9" w:rsidRDefault="00BD5CE9" w:rsidP="009F645A">
      <w:pPr>
        <w:pStyle w:val="Titre3"/>
        <w:numPr>
          <w:ilvl w:val="2"/>
          <w:numId w:val="5"/>
        </w:numPr>
        <w:spacing w:after="240"/>
      </w:pPr>
      <w:r>
        <w:t>Forfait par lot</w:t>
      </w:r>
    </w:p>
    <w:tbl>
      <w:tblPr>
        <w:tblW w:w="0" w:type="auto"/>
        <w:tblInd w:w="70" w:type="dxa"/>
        <w:tblCellMar>
          <w:left w:w="70" w:type="dxa"/>
          <w:right w:w="70" w:type="dxa"/>
        </w:tblCellMar>
        <w:tblLook w:val="04A0" w:firstRow="1" w:lastRow="0" w:firstColumn="1" w:lastColumn="0" w:noHBand="0" w:noVBand="1"/>
      </w:tblPr>
      <w:tblGrid>
        <w:gridCol w:w="8807"/>
        <w:gridCol w:w="910"/>
      </w:tblGrid>
      <w:tr w:rsidR="00BD5CE9" w:rsidRPr="00BD5CE9" w:rsidTr="00BD5CE9">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D5CE9" w:rsidRPr="00BD5CE9" w:rsidRDefault="00BD5CE9" w:rsidP="00BD5CE9">
            <w:pPr>
              <w:spacing w:after="0" w:line="240" w:lineRule="auto"/>
              <w:jc w:val="center"/>
              <w:rPr>
                <w:rFonts w:ascii="Calibri" w:eastAsia="Times New Roman" w:hAnsi="Calibri" w:cs="Calibri"/>
                <w:b/>
                <w:bCs/>
                <w:color w:val="000000"/>
              </w:rPr>
            </w:pPr>
            <w:r w:rsidRPr="00BD5CE9">
              <w:rPr>
                <w:rFonts w:ascii="Calibri" w:eastAsia="Times New Roman" w:hAnsi="Calibri" w:cs="Calibri"/>
                <w:b/>
                <w:bCs/>
                <w:color w:val="000000"/>
              </w:rPr>
              <w:t>Equipement EP (</w:t>
            </w:r>
            <w:r w:rsidR="009E5B6D" w:rsidRPr="00BD5CE9">
              <w:rPr>
                <w:rFonts w:ascii="Calibri" w:eastAsia="Times New Roman" w:hAnsi="Calibri" w:cs="Calibri"/>
                <w:b/>
                <w:bCs/>
                <w:color w:val="000000"/>
              </w:rPr>
              <w:t>prix HTVA</w:t>
            </w:r>
            <w:r w:rsidRPr="00BD5CE9">
              <w:rPr>
                <w:rFonts w:ascii="Calibri" w:eastAsia="Times New Roman" w:hAnsi="Calibri" w:cs="Calibri"/>
                <w:b/>
                <w:bCs/>
                <w:color w:val="000000"/>
              </w:rPr>
              <w:t>)</w:t>
            </w:r>
          </w:p>
        </w:tc>
      </w:tr>
      <w:tr w:rsidR="006E15A7" w:rsidRPr="00BD5CE9" w:rsidTr="006E15A7">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E15A7" w:rsidRPr="00BD5CE9" w:rsidRDefault="006E15A7" w:rsidP="006E15A7">
            <w:pPr>
              <w:spacing w:after="0" w:line="240" w:lineRule="auto"/>
              <w:rPr>
                <w:rFonts w:ascii="Calibri" w:eastAsia="Times New Roman" w:hAnsi="Calibri" w:cs="Calibri"/>
                <w:color w:val="000000"/>
              </w:rPr>
            </w:pPr>
            <w:r w:rsidRPr="00BD5CE9">
              <w:rPr>
                <w:rFonts w:ascii="Calibri" w:eastAsia="Times New Roman" w:hAnsi="Calibri" w:cs="Calibri"/>
                <w:color w:val="000000"/>
              </w:rPr>
              <w:t>Pose de câble EP dans la même tranchée que le câble électrique</w:t>
            </w:r>
          </w:p>
        </w:tc>
        <w:tc>
          <w:tcPr>
            <w:tcW w:w="0" w:type="auto"/>
            <w:tcBorders>
              <w:top w:val="nil"/>
              <w:left w:val="nil"/>
              <w:bottom w:val="single" w:sz="8" w:space="0" w:color="auto"/>
              <w:right w:val="single" w:sz="8" w:space="0" w:color="auto"/>
            </w:tcBorders>
            <w:shd w:val="clear" w:color="auto" w:fill="auto"/>
            <w:noWrap/>
            <w:vAlign w:val="center"/>
            <w:hideMark/>
          </w:tcPr>
          <w:p w:rsidR="006E15A7" w:rsidRPr="004F16F1" w:rsidRDefault="006E15A7" w:rsidP="006E15A7">
            <w:pPr>
              <w:jc w:val="center"/>
            </w:pPr>
            <w:r w:rsidRPr="004F16F1">
              <w:t>7,8</w:t>
            </w:r>
            <w:r w:rsidR="007F7467">
              <w:t>7</w:t>
            </w:r>
            <w:r w:rsidRPr="004F16F1">
              <w:t xml:space="preserve"> €</w:t>
            </w:r>
          </w:p>
        </w:tc>
      </w:tr>
      <w:tr w:rsidR="006E15A7" w:rsidRPr="00BD5CE9" w:rsidTr="006E15A7">
        <w:trPr>
          <w:trHeight w:val="915"/>
        </w:trPr>
        <w:tc>
          <w:tcPr>
            <w:tcW w:w="0" w:type="auto"/>
            <w:tcBorders>
              <w:top w:val="nil"/>
              <w:left w:val="single" w:sz="8" w:space="0" w:color="auto"/>
              <w:bottom w:val="nil"/>
              <w:right w:val="single" w:sz="8" w:space="0" w:color="auto"/>
            </w:tcBorders>
            <w:shd w:val="clear" w:color="auto" w:fill="auto"/>
            <w:vAlign w:val="center"/>
            <w:hideMark/>
          </w:tcPr>
          <w:p w:rsidR="006E15A7" w:rsidRPr="00BD5CE9" w:rsidRDefault="006E15A7" w:rsidP="006E15A7">
            <w:pPr>
              <w:spacing w:after="0" w:line="240" w:lineRule="auto"/>
              <w:rPr>
                <w:rFonts w:ascii="Calibri" w:eastAsia="Times New Roman" w:hAnsi="Calibri" w:cs="Calibri"/>
                <w:color w:val="000000"/>
              </w:rPr>
            </w:pPr>
            <w:r w:rsidRPr="00BD5CE9">
              <w:rPr>
                <w:rFonts w:ascii="Calibri" w:eastAsia="Times New Roman" w:hAnsi="Calibri" w:cs="Calibri"/>
                <w:color w:val="000000"/>
              </w:rPr>
              <w:t>Forfait EP- Voirie existante, réseau existant et support existant : forfait par point lumineux (fourniture crosse et candélabre, luminaire std, accessoires)</w:t>
            </w:r>
          </w:p>
        </w:tc>
        <w:tc>
          <w:tcPr>
            <w:tcW w:w="0" w:type="auto"/>
            <w:tcBorders>
              <w:top w:val="nil"/>
              <w:left w:val="nil"/>
              <w:bottom w:val="single" w:sz="8" w:space="0" w:color="auto"/>
              <w:right w:val="single" w:sz="8" w:space="0" w:color="auto"/>
            </w:tcBorders>
            <w:shd w:val="clear" w:color="auto" w:fill="auto"/>
            <w:noWrap/>
            <w:vAlign w:val="center"/>
            <w:hideMark/>
          </w:tcPr>
          <w:p w:rsidR="006E15A7" w:rsidRPr="004F16F1" w:rsidRDefault="006E15A7" w:rsidP="006E15A7">
            <w:pPr>
              <w:jc w:val="center"/>
            </w:pPr>
            <w:r w:rsidRPr="004F16F1">
              <w:t>60</w:t>
            </w:r>
            <w:r w:rsidR="007F7467">
              <w:t>2</w:t>
            </w:r>
            <w:r w:rsidRPr="004F16F1">
              <w:t>,3</w:t>
            </w:r>
            <w:r w:rsidR="007F7467">
              <w:t>4</w:t>
            </w:r>
            <w:r w:rsidRPr="004F16F1">
              <w:t xml:space="preserve"> €</w:t>
            </w:r>
          </w:p>
        </w:tc>
      </w:tr>
      <w:tr w:rsidR="006E15A7" w:rsidRPr="00BD5CE9" w:rsidTr="006E15A7">
        <w:trPr>
          <w:trHeight w:val="9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6E15A7" w:rsidRPr="00BD5CE9" w:rsidRDefault="006E15A7" w:rsidP="006E15A7">
            <w:pPr>
              <w:spacing w:after="0" w:line="240" w:lineRule="auto"/>
              <w:rPr>
                <w:rFonts w:ascii="Calibri" w:eastAsia="Times New Roman" w:hAnsi="Calibri" w:cs="Calibri"/>
                <w:color w:val="000000"/>
              </w:rPr>
            </w:pPr>
            <w:r w:rsidRPr="00BD5CE9">
              <w:rPr>
                <w:rFonts w:ascii="Calibri" w:eastAsia="Times New Roman" w:hAnsi="Calibri" w:cs="Calibri"/>
                <w:color w:val="000000"/>
              </w:rPr>
              <w:t>Forfait EP - Sur nouveau poteau</w:t>
            </w:r>
            <w:r>
              <w:rPr>
                <w:rFonts w:ascii="Calibri" w:eastAsia="Times New Roman" w:hAnsi="Calibri" w:cs="Calibri"/>
                <w:color w:val="000000"/>
              </w:rPr>
              <w:t xml:space="preserve"> </w:t>
            </w:r>
            <w:r w:rsidRPr="00BD5CE9">
              <w:rPr>
                <w:rFonts w:ascii="Calibri" w:eastAsia="Times New Roman" w:hAnsi="Calibri" w:cs="Calibri"/>
                <w:color w:val="000000"/>
              </w:rPr>
              <w:t>: forfait au m (fourniture et pose du câble, candélabre, luminaire std, accessoires 20 m d’inter-distance)</w:t>
            </w:r>
          </w:p>
        </w:tc>
        <w:tc>
          <w:tcPr>
            <w:tcW w:w="0" w:type="auto"/>
            <w:tcBorders>
              <w:top w:val="nil"/>
              <w:left w:val="nil"/>
              <w:bottom w:val="single" w:sz="8" w:space="0" w:color="auto"/>
              <w:right w:val="single" w:sz="8" w:space="0" w:color="auto"/>
            </w:tcBorders>
            <w:shd w:val="clear" w:color="auto" w:fill="auto"/>
            <w:noWrap/>
            <w:vAlign w:val="center"/>
            <w:hideMark/>
          </w:tcPr>
          <w:p w:rsidR="006E15A7" w:rsidRDefault="006E15A7" w:rsidP="006E15A7">
            <w:pPr>
              <w:jc w:val="center"/>
            </w:pPr>
            <w:r w:rsidRPr="004F16F1">
              <w:t>66,</w:t>
            </w:r>
            <w:r w:rsidR="007F7467">
              <w:t>02</w:t>
            </w:r>
            <w:r w:rsidRPr="004F16F1">
              <w:t xml:space="preserve"> €</w:t>
            </w:r>
          </w:p>
        </w:tc>
      </w:tr>
    </w:tbl>
    <w:p w:rsidR="00BD5CE9" w:rsidRDefault="00BD5CE9" w:rsidP="00BD5CE9">
      <w:pPr>
        <w:jc w:val="both"/>
      </w:pPr>
    </w:p>
    <w:p w:rsidR="00335BF7" w:rsidRDefault="00BD5CE9" w:rsidP="00BD5CE9">
      <w:pPr>
        <w:jc w:val="both"/>
      </w:pPr>
      <w:r>
        <w:t>Remarque : Si la pose du câble EP nécessite l'ouverture d'une nouvelle tranchée destinée uniquement à cet effet, un supplément pour la réalisa</w:t>
      </w:r>
      <w:r>
        <w:rPr>
          <w:rFonts w:ascii="Palatino Linotype" w:eastAsia="Palatino Linotype" w:hAnsi="Palatino Linotype" w:cs="Palatino Linotype"/>
        </w:rPr>
        <w:t>ti</w:t>
      </w:r>
      <w:r>
        <w:t>on de celle-ci sera facturé.</w:t>
      </w: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9F645A">
      <w:pPr>
        <w:pStyle w:val="Titre3"/>
        <w:numPr>
          <w:ilvl w:val="2"/>
          <w:numId w:val="24"/>
        </w:numPr>
        <w:spacing w:after="240"/>
      </w:pPr>
      <w:r>
        <w:t>Divers</w:t>
      </w:r>
    </w:p>
    <w:p w:rsidR="00E90A6A" w:rsidRDefault="00E90A6A" w:rsidP="00E90A6A">
      <w:pPr>
        <w:jc w:val="both"/>
      </w:pPr>
      <w:r>
        <w:t>Les prix du terme Divers concernent les travaux de câblage, de terrassement, d’accessoires ou de forage hors des composants du forfait.</w:t>
      </w:r>
    </w:p>
    <w:tbl>
      <w:tblPr>
        <w:tblW w:w="7328" w:type="dxa"/>
        <w:tblCellMar>
          <w:left w:w="70" w:type="dxa"/>
          <w:right w:w="70" w:type="dxa"/>
        </w:tblCellMar>
        <w:tblLook w:val="04A0" w:firstRow="1" w:lastRow="0" w:firstColumn="1" w:lastColumn="0" w:noHBand="0" w:noVBand="1"/>
      </w:tblPr>
      <w:tblGrid>
        <w:gridCol w:w="6219"/>
        <w:gridCol w:w="1109"/>
      </w:tblGrid>
      <w:tr w:rsidR="007F7467" w:rsidRPr="007F7467" w:rsidTr="007F7467">
        <w:trPr>
          <w:trHeight w:val="315"/>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Travaux hors forfait</w:t>
            </w:r>
          </w:p>
        </w:tc>
      </w:tr>
      <w:tr w:rsidR="007F7467" w:rsidRPr="007F7467" w:rsidTr="007F7467">
        <w:trPr>
          <w:trHeight w:val="315"/>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Fourniture et pose de câble souterrain</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EAXVB 4x95 / m</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€ 21,72</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EAXVB 4x150 / m</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€ 28,31</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Câbles Moyenne Tension (extension hors zone d’habitat)</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Sur devis</w:t>
            </w:r>
          </w:p>
        </w:tc>
      </w:tr>
      <w:tr w:rsidR="007F7467" w:rsidRPr="007F7467" w:rsidTr="007F7467">
        <w:trPr>
          <w:trHeight w:val="315"/>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Travaux de terrassement</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Tranchée en pleine terre / m</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€ 58,10</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de gaine / m</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€ 13,20</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Forage sous élément structurel </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 Sur devis </w:t>
            </w:r>
          </w:p>
        </w:tc>
      </w:tr>
      <w:tr w:rsidR="007F7467" w:rsidRPr="007F7467" w:rsidTr="007F7467">
        <w:trPr>
          <w:trHeight w:val="315"/>
        </w:trPr>
        <w:tc>
          <w:tcPr>
            <w:tcW w:w="6219" w:type="dxa"/>
            <w:tcBorders>
              <w:top w:val="nil"/>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Coffret et armoire sur terrain pivé</w:t>
            </w:r>
          </w:p>
        </w:tc>
        <w:tc>
          <w:tcPr>
            <w:tcW w:w="1109" w:type="dxa"/>
            <w:tcBorders>
              <w:top w:val="nil"/>
              <w:left w:val="nil"/>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 </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d'une armoire de réseau BT</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€ 1.457,77</w:t>
            </w:r>
          </w:p>
        </w:tc>
      </w:tr>
      <w:tr w:rsidR="007F7467" w:rsidRPr="007F7467" w:rsidTr="007F7467">
        <w:trPr>
          <w:trHeight w:val="345"/>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Forage et ragréage des traversées de façades</w:t>
            </w:r>
          </w:p>
        </w:tc>
        <w:tc>
          <w:tcPr>
            <w:tcW w:w="1109"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Sur devis</w:t>
            </w:r>
          </w:p>
        </w:tc>
      </w:tr>
    </w:tbl>
    <w:p w:rsidR="00A9111C" w:rsidRDefault="00A9111C" w:rsidP="00E90A6A">
      <w:pPr>
        <w:jc w:val="both"/>
      </w:pPr>
    </w:p>
    <w:p w:rsidR="00E90A6A" w:rsidRPr="00203EB4" w:rsidRDefault="00E90A6A" w:rsidP="00203EB4">
      <w:pPr>
        <w:jc w:val="both"/>
      </w:pPr>
    </w:p>
    <w:p w:rsidR="00BE5245" w:rsidRDefault="00BE5245" w:rsidP="009F645A">
      <w:pPr>
        <w:pStyle w:val="Titre2"/>
        <w:pageBreakBefore/>
        <w:numPr>
          <w:ilvl w:val="1"/>
          <w:numId w:val="13"/>
        </w:numPr>
        <w:spacing w:after="240"/>
      </w:pPr>
      <w:bookmarkStart w:id="5" w:name="_Toc524081177"/>
      <w:r>
        <w:t>Raccordement TransBT</w:t>
      </w:r>
      <w:bookmarkEnd w:id="5"/>
    </w:p>
    <w:p w:rsidR="00554590" w:rsidRDefault="00554590" w:rsidP="005F439E">
      <w:pPr>
        <w:jc w:val="both"/>
      </w:pPr>
      <w:r>
        <w:t>Par raccordement TransBT, on entend un raccordement directement sur une cabine de distribution sous une tension BT (basse tension) &lt; 1kV du GRD (gestionnaire de réseau de distribution).</w:t>
      </w:r>
    </w:p>
    <w:p w:rsidR="00554590" w:rsidRDefault="00554590" w:rsidP="005F439E">
      <w:pPr>
        <w:jc w:val="both"/>
      </w:pPr>
      <w:r>
        <w:t>Ce type de raccordement est d’application pour tout utilisateur de réseau BT demandant une puissance qui conduit à des intensités &gt; 100A et pour tout utilisateur de réseau BT perturbateur même pour des courants &lt;=100A à condition d'avoir la confirmation de la disponibilité de cette capacité sur la cabine de distribution par le GRD.</w:t>
      </w:r>
    </w:p>
    <w:p w:rsidR="00554590" w:rsidRDefault="00554590" w:rsidP="005F439E">
      <w:pPr>
        <w:jc w:val="both"/>
      </w:pPr>
      <w:r>
        <w:t xml:space="preserve">Restrictions </w:t>
      </w:r>
      <w:r w:rsidR="00AF0BD9">
        <w:t>techniques :</w:t>
      </w:r>
      <w:r>
        <w:t xml:space="preserve"> la distance totale depuis la cabine de distribution jusqu'au placement du compteur (longueur câble) est limitée par la chute de tension maximale (5%) et par les pertes maximales sur le câble (2,5%).</w:t>
      </w:r>
    </w:p>
    <w:p w:rsidR="00554590" w:rsidRDefault="00554590" w:rsidP="005F439E">
      <w:pPr>
        <w:jc w:val="both"/>
      </w:pPr>
      <w:r>
        <w:t>Le tarif de raccordement est une intervention unique et est d'application pour tout raccordement standard au réseau BT de type TransBT conforme aux prescriptions techniques du gestionnaire de réseau de distribution, et pour autant que le demandeur ait pris soin des fournitures et des travaux qui lui ont été demandés et que les prix de raccordement lui aient été confirmés par écrit par le GRD.</w:t>
      </w:r>
    </w:p>
    <w:p w:rsidR="00554590" w:rsidRDefault="00554590" w:rsidP="005F439E">
      <w:pPr>
        <w:jc w:val="both"/>
      </w:pPr>
      <w:r>
        <w:t>Les prix unitaires sont exprimés en Euros, hors TVA.</w:t>
      </w:r>
    </w:p>
    <w:p w:rsidR="00554590" w:rsidRDefault="00554590" w:rsidP="005F439E">
      <w:pPr>
        <w:jc w:val="both"/>
      </w:pPr>
      <w:r>
        <w:t>Les montants sont des interventions financières à charge du demandeur et n’emportent aucun droit de propriété sur les installations qui restent propriété du GRD.</w:t>
      </w:r>
    </w:p>
    <w:p w:rsidR="00A04475" w:rsidRDefault="00A04475" w:rsidP="005F439E">
      <w:pPr>
        <w:jc w:val="both"/>
        <w:rPr>
          <w:b/>
        </w:rPr>
      </w:pPr>
      <w:r>
        <w:rPr>
          <w:b/>
        </w:rPr>
        <w:t>Le</w:t>
      </w:r>
      <w:r w:rsidRPr="00B70941">
        <w:rPr>
          <w:b/>
        </w:rPr>
        <w:t xml:space="preserve"> raccordement ne sera exécuté qu’après visite de raccordement obligatoire et accord préalable du GRD.</w:t>
      </w:r>
    </w:p>
    <w:p w:rsidR="00A04475" w:rsidRDefault="00A04475" w:rsidP="005F439E">
      <w:pPr>
        <w:jc w:val="both"/>
      </w:pPr>
      <w:r>
        <w:t>Le prix du raccordement comprend l’accès au réseau, le branchement, le comptage, des frais divers et les études nécessaires.</w:t>
      </w:r>
    </w:p>
    <w:p w:rsidR="00A04475" w:rsidRDefault="00A04475" w:rsidP="00A04475">
      <w:pPr>
        <w:jc w:val="center"/>
        <w:rPr>
          <w:b/>
        </w:rPr>
      </w:pPr>
      <w:r>
        <w:rPr>
          <w:b/>
        </w:rPr>
        <w:t>Prix d’un raccordement = A + B + C + E</w:t>
      </w:r>
    </w:p>
    <w:p w:rsidR="00764537" w:rsidRDefault="00764537" w:rsidP="009F645A">
      <w:pPr>
        <w:pStyle w:val="Titre3"/>
        <w:numPr>
          <w:ilvl w:val="2"/>
          <w:numId w:val="6"/>
        </w:numPr>
        <w:spacing w:after="240"/>
      </w:pPr>
      <w:r>
        <w:t>Accès au réseau</w:t>
      </w:r>
    </w:p>
    <w:p w:rsidR="007A4BA7" w:rsidRDefault="007A4BA7" w:rsidP="007A4BA7">
      <w:pPr>
        <w:jc w:val="both"/>
      </w:pPr>
      <w:r>
        <w:t xml:space="preserve">Ce poste sert donc à financer toutes les poses de renforcement ou d’extension du réseau réalisées </w:t>
      </w:r>
      <w:r w:rsidR="005E04BE">
        <w:t>dans le réseau du GRD en amont du point de raccordement</w:t>
      </w:r>
      <w:r>
        <w:t xml:space="preserve"> GRD. </w:t>
      </w:r>
    </w:p>
    <w:p w:rsidR="007A4BA7" w:rsidRDefault="007A4BA7" w:rsidP="007A4BA7">
      <w:pPr>
        <w:jc w:val="both"/>
      </w:pPr>
      <w:r>
        <w:t>L’accès au réseau doit faire l’objet d’un accord préalable du GRD. Le demandeur paie un forfait par kVA utilisé dès le premier kVA à concurrence de la puissance qu’il demande.</w:t>
      </w:r>
    </w:p>
    <w:p w:rsidR="007A4BA7" w:rsidRDefault="007A4BA7" w:rsidP="007A4BA7">
      <w:pPr>
        <w:jc w:val="both"/>
      </w:pPr>
      <w:r>
        <w:t>ATTENTION : ce tarif est d’application avec une fourniture minimum de 56 KVA.</w:t>
      </w:r>
    </w:p>
    <w:tbl>
      <w:tblPr>
        <w:tblW w:w="5000" w:type="pct"/>
        <w:tblCellMar>
          <w:left w:w="70" w:type="dxa"/>
          <w:right w:w="70" w:type="dxa"/>
        </w:tblCellMar>
        <w:tblLook w:val="04A0" w:firstRow="1" w:lastRow="0" w:firstColumn="1" w:lastColumn="0" w:noHBand="0" w:noVBand="1"/>
      </w:tblPr>
      <w:tblGrid>
        <w:gridCol w:w="8620"/>
        <w:gridCol w:w="1167"/>
      </w:tblGrid>
      <w:tr w:rsidR="00CF5C6B" w:rsidRPr="00CF5C6B" w:rsidTr="00CF5C6B">
        <w:trPr>
          <w:trHeight w:val="360"/>
        </w:trPr>
        <w:tc>
          <w:tcPr>
            <w:tcW w:w="440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5C6B" w:rsidRPr="00CF5C6B" w:rsidRDefault="00CF5C6B" w:rsidP="00CF5C6B">
            <w:pPr>
              <w:spacing w:after="0" w:line="240" w:lineRule="auto"/>
              <w:rPr>
                <w:rFonts w:ascii="Palatino Linotype" w:eastAsia="Times New Roman" w:hAnsi="Palatino Linotype" w:cs="Calibri"/>
                <w:b/>
                <w:bCs/>
                <w:color w:val="000000"/>
              </w:rPr>
            </w:pPr>
            <w:r w:rsidRPr="00CF5C6B">
              <w:rPr>
                <w:rFonts w:ascii="Palatino Linotype" w:eastAsia="Times New Roman" w:hAnsi="Palatino Linotype" w:cs="Calibri"/>
                <w:b/>
                <w:bCs/>
                <w:color w:val="000000"/>
              </w:rPr>
              <w:t>Droit de prélèvement ou d’injection de puissance au réseau de distribution TransBT</w:t>
            </w:r>
          </w:p>
        </w:tc>
        <w:tc>
          <w:tcPr>
            <w:tcW w:w="596" w:type="pct"/>
            <w:tcBorders>
              <w:top w:val="single" w:sz="8" w:space="0" w:color="auto"/>
              <w:left w:val="nil"/>
              <w:bottom w:val="single" w:sz="8" w:space="0" w:color="auto"/>
              <w:right w:val="single" w:sz="8" w:space="0" w:color="auto"/>
            </w:tcBorders>
            <w:shd w:val="clear" w:color="auto" w:fill="auto"/>
            <w:noWrap/>
            <w:vAlign w:val="center"/>
            <w:hideMark/>
          </w:tcPr>
          <w:p w:rsidR="00CF5C6B" w:rsidRPr="00CF5C6B" w:rsidRDefault="006E15A7" w:rsidP="00CF5C6B">
            <w:pPr>
              <w:spacing w:after="0" w:line="240" w:lineRule="auto"/>
              <w:jc w:val="center"/>
              <w:rPr>
                <w:rFonts w:ascii="Palatino Linotype" w:eastAsia="Times New Roman" w:hAnsi="Palatino Linotype" w:cs="Calibri"/>
                <w:b/>
                <w:bCs/>
                <w:color w:val="000000"/>
              </w:rPr>
            </w:pPr>
            <w:r>
              <w:rPr>
                <w:rFonts w:ascii="Palatino Linotype" w:eastAsia="Times New Roman" w:hAnsi="Palatino Linotype" w:cs="Calibri"/>
                <w:b/>
                <w:bCs/>
                <w:color w:val="000000"/>
              </w:rPr>
              <w:t>81.</w:t>
            </w:r>
            <w:r w:rsidR="007F7467">
              <w:rPr>
                <w:rFonts w:ascii="Palatino Linotype" w:eastAsia="Times New Roman" w:hAnsi="Palatino Linotype" w:cs="Calibri"/>
                <w:b/>
                <w:bCs/>
                <w:color w:val="000000"/>
              </w:rPr>
              <w:t>49</w:t>
            </w:r>
            <w:r w:rsidR="00CF5C6B" w:rsidRPr="00CF5C6B">
              <w:rPr>
                <w:rFonts w:ascii="Palatino Linotype" w:eastAsia="Times New Roman" w:hAnsi="Palatino Linotype" w:cs="Calibri"/>
                <w:b/>
                <w:bCs/>
                <w:color w:val="000000"/>
              </w:rPr>
              <w:t xml:space="preserve"> €</w:t>
            </w:r>
          </w:p>
        </w:tc>
      </w:tr>
    </w:tbl>
    <w:p w:rsidR="00285194" w:rsidRPr="007A4BA7" w:rsidRDefault="00285194" w:rsidP="007A4BA7">
      <w:pPr>
        <w:jc w:val="both"/>
      </w:pPr>
    </w:p>
    <w:p w:rsidR="00764537" w:rsidRDefault="00764537" w:rsidP="009F645A">
      <w:pPr>
        <w:pStyle w:val="Titre3"/>
        <w:numPr>
          <w:ilvl w:val="2"/>
          <w:numId w:val="6"/>
        </w:numPr>
        <w:spacing w:after="240"/>
      </w:pPr>
      <w:r>
        <w:t>Branchement</w:t>
      </w:r>
    </w:p>
    <w:p w:rsidR="00764537" w:rsidRDefault="00764537" w:rsidP="00764537">
      <w:pPr>
        <w:jc w:val="both"/>
      </w:pPr>
      <w:r>
        <w:t xml:space="preserve">Le tarif est basé sur un raccordement standard en souterrain ou aéro-souterrain. Le prix du </w:t>
      </w:r>
      <w:r w:rsidR="005E04BE">
        <w:t>branchement</w:t>
      </w:r>
      <w:r>
        <w:t xml:space="preserve"> est </w:t>
      </w:r>
      <w:r w:rsidR="005E04BE">
        <w:t xml:space="preserve">sur devis, en effet celui-ci dépendra </w:t>
      </w:r>
      <w:r w:rsidR="00C625DC">
        <w:t>du câble nécessaire</w:t>
      </w:r>
      <w:r w:rsidR="005E04BE">
        <w:t xml:space="preserve"> à la puissance demandé ainsi que la distance entre le point de raccordement et le point d’accès</w:t>
      </w:r>
      <w:r>
        <w:t>.</w:t>
      </w:r>
    </w:p>
    <w:p w:rsidR="00764537" w:rsidRPr="00831C67" w:rsidRDefault="00764537" w:rsidP="00764537">
      <w:pPr>
        <w:jc w:val="both"/>
        <w:rPr>
          <w:b/>
          <w:u w:val="single"/>
        </w:rPr>
      </w:pPr>
      <w:r w:rsidRPr="00831C67">
        <w:rPr>
          <w:b/>
          <w:u w:val="single"/>
        </w:rPr>
        <w:t xml:space="preserve">Travaux réalisés par le GRD </w:t>
      </w:r>
      <w:r w:rsidR="005E04BE">
        <w:rPr>
          <w:b/>
          <w:u w:val="single"/>
        </w:rPr>
        <w:t>suivant devis</w:t>
      </w:r>
    </w:p>
    <w:p w:rsidR="00764537" w:rsidRDefault="00764537" w:rsidP="009F645A">
      <w:pPr>
        <w:pStyle w:val="Paragraphedeliste"/>
        <w:numPr>
          <w:ilvl w:val="0"/>
          <w:numId w:val="3"/>
        </w:numPr>
        <w:jc w:val="both"/>
        <w:rPr>
          <w:sz w:val="22"/>
        </w:rPr>
      </w:pPr>
      <w:r>
        <w:rPr>
          <w:sz w:val="22"/>
        </w:rPr>
        <w:t>La fourniture et la pose de câble sur le domaine public (</w:t>
      </w:r>
      <w:r w:rsidR="00AF0BD9">
        <w:rPr>
          <w:sz w:val="22"/>
        </w:rPr>
        <w:t>tranchée réalisée</w:t>
      </w:r>
      <w:r>
        <w:rPr>
          <w:sz w:val="22"/>
        </w:rPr>
        <w:t xml:space="preserve"> par le GRD) du point de raccordement à la limite de propriété privé,</w:t>
      </w:r>
    </w:p>
    <w:p w:rsidR="00764537" w:rsidRPr="00831C67" w:rsidRDefault="00764537" w:rsidP="009F645A">
      <w:pPr>
        <w:pStyle w:val="Paragraphedeliste"/>
        <w:numPr>
          <w:ilvl w:val="0"/>
          <w:numId w:val="3"/>
        </w:numPr>
        <w:jc w:val="both"/>
        <w:rPr>
          <w:sz w:val="22"/>
        </w:rPr>
      </w:pPr>
      <w:r w:rsidRPr="00831C67">
        <w:rPr>
          <w:sz w:val="22"/>
        </w:rPr>
        <w:t xml:space="preserve">La fourniture et la pose de câble en domaine privé dans des gaines d’attente </w:t>
      </w:r>
    </w:p>
    <w:p w:rsidR="00764537" w:rsidRPr="00831C67" w:rsidRDefault="00764537" w:rsidP="009F645A">
      <w:pPr>
        <w:pStyle w:val="Paragraphedeliste"/>
        <w:numPr>
          <w:ilvl w:val="0"/>
          <w:numId w:val="3"/>
        </w:numPr>
        <w:jc w:val="both"/>
        <w:rPr>
          <w:sz w:val="22"/>
        </w:rPr>
      </w:pPr>
      <w:r w:rsidRPr="00831C67">
        <w:rPr>
          <w:sz w:val="22"/>
        </w:rPr>
        <w:t>La fourniture et la pose de câbl</w:t>
      </w:r>
      <w:r w:rsidR="005E04BE">
        <w:rPr>
          <w:sz w:val="22"/>
        </w:rPr>
        <w:t>e à l’intérieur de l’habitation</w:t>
      </w:r>
    </w:p>
    <w:p w:rsidR="00764537" w:rsidRDefault="00764537" w:rsidP="009F645A">
      <w:pPr>
        <w:pStyle w:val="Paragraphedeliste"/>
        <w:numPr>
          <w:ilvl w:val="0"/>
          <w:numId w:val="3"/>
        </w:numPr>
        <w:jc w:val="both"/>
        <w:rPr>
          <w:sz w:val="22"/>
        </w:rPr>
      </w:pPr>
      <w:r w:rsidRPr="00831C67">
        <w:rPr>
          <w:sz w:val="22"/>
        </w:rPr>
        <w:t xml:space="preserve">La fourniture et la pose du matériel de fixation du câble au support, la fourniture et la pose de la gaine rétractable, la protection mécanique, la boîte de jonction </w:t>
      </w:r>
      <w:r w:rsidR="00AF0BD9" w:rsidRPr="00831C67">
        <w:rPr>
          <w:sz w:val="22"/>
        </w:rPr>
        <w:t>éventuelle, ...</w:t>
      </w:r>
    </w:p>
    <w:p w:rsidR="00764537" w:rsidRDefault="00764537" w:rsidP="009F645A">
      <w:pPr>
        <w:pStyle w:val="Paragraphedeliste"/>
        <w:numPr>
          <w:ilvl w:val="0"/>
          <w:numId w:val="3"/>
        </w:numPr>
        <w:jc w:val="both"/>
        <w:rPr>
          <w:sz w:val="22"/>
        </w:rPr>
      </w:pPr>
      <w:r w:rsidRPr="00831C67">
        <w:rPr>
          <w:sz w:val="22"/>
        </w:rPr>
        <w:t>Le raccordement du câble au sectionneur.</w:t>
      </w:r>
    </w:p>
    <w:p w:rsidR="00764537" w:rsidRPr="00831C67" w:rsidRDefault="00764537" w:rsidP="00764537">
      <w:pPr>
        <w:jc w:val="both"/>
        <w:rPr>
          <w:b/>
          <w:u w:val="single"/>
        </w:rPr>
      </w:pPr>
      <w:r w:rsidRPr="00831C67">
        <w:rPr>
          <w:b/>
          <w:u w:val="single"/>
        </w:rPr>
        <w:t>Travaux à réaliser par le demandeur</w:t>
      </w:r>
    </w:p>
    <w:p w:rsidR="00764537" w:rsidRPr="00831C67" w:rsidRDefault="00764537" w:rsidP="009F645A">
      <w:pPr>
        <w:pStyle w:val="Paragraphedeliste"/>
        <w:numPr>
          <w:ilvl w:val="0"/>
          <w:numId w:val="3"/>
        </w:numPr>
        <w:jc w:val="both"/>
        <w:rPr>
          <w:sz w:val="22"/>
        </w:rPr>
      </w:pPr>
      <w:r w:rsidRPr="00831C67">
        <w:rPr>
          <w:sz w:val="22"/>
        </w:rPr>
        <w:t>La fourniture et la pose d’une courbe de raccordement (tuyaux de pénétration dans l’immeuble) conforme aux prescriptions du GRD et obligatoire pour les nouvelles constructions,</w:t>
      </w:r>
    </w:p>
    <w:p w:rsidR="00764537" w:rsidRPr="00831C67" w:rsidRDefault="00764537" w:rsidP="009F645A">
      <w:pPr>
        <w:pStyle w:val="Paragraphedeliste"/>
        <w:numPr>
          <w:ilvl w:val="0"/>
          <w:numId w:val="3"/>
        </w:numPr>
        <w:jc w:val="both"/>
        <w:rPr>
          <w:sz w:val="22"/>
        </w:rPr>
      </w:pPr>
      <w:r w:rsidRPr="00831C67">
        <w:rPr>
          <w:sz w:val="22"/>
        </w:rPr>
        <w:t>La percée de mur extérieur pour le passage du câble d’alimentation et son ragréage après les travaux pour les immeubles existants ayant un recul,</w:t>
      </w:r>
    </w:p>
    <w:p w:rsidR="00764537" w:rsidRPr="00831C67" w:rsidRDefault="00764537" w:rsidP="009F645A">
      <w:pPr>
        <w:pStyle w:val="Paragraphedeliste"/>
        <w:numPr>
          <w:ilvl w:val="0"/>
          <w:numId w:val="3"/>
        </w:numPr>
        <w:jc w:val="both"/>
        <w:rPr>
          <w:sz w:val="22"/>
        </w:rPr>
      </w:pPr>
      <w:r w:rsidRPr="00831C67">
        <w:rPr>
          <w:sz w:val="22"/>
        </w:rPr>
        <w:t xml:space="preserve">Tous travaux de terrassement et le placement des gaines d’attente avec tire-fils en domaine privé perpendiculaire et longitudinal (si nécessaire) jusqu’à la limite de </w:t>
      </w:r>
      <w:r w:rsidR="00AF0BD9" w:rsidRPr="00831C67">
        <w:rPr>
          <w:sz w:val="22"/>
        </w:rPr>
        <w:t>propriété ;</w:t>
      </w:r>
      <w:r w:rsidRPr="00831C67">
        <w:rPr>
          <w:sz w:val="22"/>
        </w:rPr>
        <w:t xml:space="preserve"> ce travail peut être réalisé par le GRD à la demande de l’utilisateur du réseau moyennant un supplément de prix (voir Divers),</w:t>
      </w:r>
    </w:p>
    <w:p w:rsidR="00764537" w:rsidRPr="00831C67" w:rsidRDefault="00764537" w:rsidP="009F645A">
      <w:pPr>
        <w:pStyle w:val="Paragraphedeliste"/>
        <w:numPr>
          <w:ilvl w:val="0"/>
          <w:numId w:val="3"/>
        </w:numPr>
        <w:jc w:val="both"/>
        <w:rPr>
          <w:sz w:val="22"/>
        </w:rPr>
      </w:pPr>
      <w:r w:rsidRPr="00831C67">
        <w:rPr>
          <w:sz w:val="22"/>
        </w:rPr>
        <w:t>Réalisation des fouilles nécessaires (au droit de la pénétration dans le bâtiment, en limite de propriété et aux endroits de changement de direction des gaines),</w:t>
      </w:r>
    </w:p>
    <w:p w:rsidR="00764537" w:rsidRDefault="00764537" w:rsidP="009F645A">
      <w:pPr>
        <w:pStyle w:val="Paragraphedeliste"/>
        <w:numPr>
          <w:ilvl w:val="0"/>
          <w:numId w:val="3"/>
        </w:numPr>
        <w:jc w:val="both"/>
        <w:rPr>
          <w:sz w:val="22"/>
        </w:rPr>
      </w:pPr>
      <w:r w:rsidRPr="00831C67">
        <w:rPr>
          <w:sz w:val="22"/>
        </w:rPr>
        <w:t>L’apport et l’enlèvement de terre ou la réhabilitation du terrain en domaine privé,</w:t>
      </w:r>
    </w:p>
    <w:p w:rsidR="00C625DC" w:rsidRDefault="00C625DC" w:rsidP="00C625DC">
      <w:pPr>
        <w:pStyle w:val="Paragraphedeliste"/>
        <w:ind w:left="720" w:firstLine="0"/>
        <w:jc w:val="both"/>
        <w:rPr>
          <w:sz w:val="22"/>
        </w:rPr>
      </w:pPr>
    </w:p>
    <w:tbl>
      <w:tblPr>
        <w:tblW w:w="0" w:type="auto"/>
        <w:jc w:val="center"/>
        <w:tblCellMar>
          <w:left w:w="70" w:type="dxa"/>
          <w:right w:w="70" w:type="dxa"/>
        </w:tblCellMar>
        <w:tblLook w:val="04A0" w:firstRow="1" w:lastRow="0" w:firstColumn="1" w:lastColumn="0" w:noHBand="0" w:noVBand="1"/>
      </w:tblPr>
      <w:tblGrid>
        <w:gridCol w:w="4661"/>
        <w:gridCol w:w="1107"/>
      </w:tblGrid>
      <w:tr w:rsidR="007F7467" w:rsidRPr="007F7467" w:rsidTr="007F7467">
        <w:trPr>
          <w:trHeight w:val="315"/>
          <w:jc w:val="center"/>
        </w:trPr>
        <w:tc>
          <w:tcPr>
            <w:tcW w:w="0" w:type="auto"/>
            <w:gridSpan w:val="2"/>
            <w:tcBorders>
              <w:top w:val="single" w:sz="8" w:space="0" w:color="auto"/>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Fourniture et pose de câble souterrain</w:t>
            </w:r>
          </w:p>
        </w:tc>
      </w:tr>
      <w:tr w:rsidR="007F7467" w:rsidRPr="007F7467" w:rsidTr="007F746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EAXVB 4x95 / m</w:t>
            </w:r>
          </w:p>
        </w:tc>
        <w:tc>
          <w:tcPr>
            <w:tcW w:w="0" w:type="auto"/>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€ 21,72</w:t>
            </w:r>
          </w:p>
        </w:tc>
      </w:tr>
      <w:tr w:rsidR="007F7467" w:rsidRPr="007F7467" w:rsidTr="007F746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EAXVB 4x150 / m</w:t>
            </w:r>
          </w:p>
        </w:tc>
        <w:tc>
          <w:tcPr>
            <w:tcW w:w="0" w:type="auto"/>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€ 28,31</w:t>
            </w:r>
          </w:p>
        </w:tc>
      </w:tr>
      <w:tr w:rsidR="007F7467" w:rsidRPr="007F7467" w:rsidTr="007F7467">
        <w:trPr>
          <w:trHeight w:val="315"/>
          <w:jc w:val="center"/>
        </w:trPr>
        <w:tc>
          <w:tcPr>
            <w:tcW w:w="0" w:type="auto"/>
            <w:gridSpan w:val="2"/>
            <w:tcBorders>
              <w:top w:val="single" w:sz="8" w:space="0" w:color="auto"/>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Travaux de terrassement</w:t>
            </w:r>
          </w:p>
        </w:tc>
      </w:tr>
      <w:tr w:rsidR="007F7467" w:rsidRPr="007F7467" w:rsidTr="007F746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Tranchée en pleine terre / m</w:t>
            </w:r>
          </w:p>
        </w:tc>
        <w:tc>
          <w:tcPr>
            <w:tcW w:w="0" w:type="auto"/>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€ 58,10</w:t>
            </w:r>
          </w:p>
        </w:tc>
      </w:tr>
      <w:tr w:rsidR="007F7467" w:rsidRPr="007F7467" w:rsidTr="007F746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de gaine / m</w:t>
            </w:r>
          </w:p>
        </w:tc>
        <w:tc>
          <w:tcPr>
            <w:tcW w:w="0" w:type="auto"/>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€ 13,20</w:t>
            </w:r>
          </w:p>
        </w:tc>
      </w:tr>
      <w:tr w:rsidR="007F7467" w:rsidRPr="007F7467" w:rsidTr="007F746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Forage sous élément structurel </w:t>
            </w:r>
          </w:p>
        </w:tc>
        <w:tc>
          <w:tcPr>
            <w:tcW w:w="0" w:type="auto"/>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 Sur devis </w:t>
            </w:r>
          </w:p>
        </w:tc>
      </w:tr>
      <w:tr w:rsidR="007F7467" w:rsidRPr="007F7467" w:rsidTr="007F7467">
        <w:trPr>
          <w:trHeight w:val="315"/>
          <w:jc w:val="center"/>
        </w:trPr>
        <w:tc>
          <w:tcPr>
            <w:tcW w:w="0" w:type="auto"/>
            <w:tcBorders>
              <w:top w:val="nil"/>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Coffret et armoire sur terrain pivé</w:t>
            </w:r>
          </w:p>
        </w:tc>
        <w:tc>
          <w:tcPr>
            <w:tcW w:w="0" w:type="auto"/>
            <w:tcBorders>
              <w:top w:val="nil"/>
              <w:left w:val="nil"/>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 </w:t>
            </w:r>
          </w:p>
        </w:tc>
      </w:tr>
      <w:tr w:rsidR="007F7467" w:rsidRPr="007F7467" w:rsidTr="007F7467">
        <w:trPr>
          <w:trHeight w:val="67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d'une armoire de réseau BT</w:t>
            </w:r>
          </w:p>
        </w:tc>
        <w:tc>
          <w:tcPr>
            <w:tcW w:w="0" w:type="auto"/>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€ 1.457,77</w:t>
            </w:r>
          </w:p>
        </w:tc>
      </w:tr>
      <w:tr w:rsidR="007F7467" w:rsidRPr="007F7467" w:rsidTr="007F746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Forage et ragréage des traversées de façades</w:t>
            </w:r>
          </w:p>
        </w:tc>
        <w:tc>
          <w:tcPr>
            <w:tcW w:w="0" w:type="auto"/>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Sur devis</w:t>
            </w:r>
          </w:p>
        </w:tc>
      </w:tr>
    </w:tbl>
    <w:p w:rsidR="00C625DC" w:rsidRDefault="00C625DC" w:rsidP="00C625DC">
      <w:pPr>
        <w:pStyle w:val="Titre3"/>
        <w:spacing w:after="240"/>
        <w:ind w:left="1224"/>
      </w:pPr>
    </w:p>
    <w:p w:rsidR="00C625DC" w:rsidRDefault="00C625DC" w:rsidP="00C625DC"/>
    <w:p w:rsidR="00764537" w:rsidRDefault="00764537" w:rsidP="009F645A">
      <w:pPr>
        <w:pStyle w:val="Titre3"/>
        <w:numPr>
          <w:ilvl w:val="2"/>
          <w:numId w:val="6"/>
        </w:numPr>
        <w:spacing w:after="240"/>
      </w:pPr>
      <w:r>
        <w:t>Comptage</w:t>
      </w:r>
    </w:p>
    <w:p w:rsidR="007A4BA7" w:rsidRDefault="007A4BA7" w:rsidP="007A4BA7">
      <w:pPr>
        <w:jc w:val="both"/>
      </w:pPr>
      <w:r>
        <w:t>En ce qui concerne le type de comptage,</w:t>
      </w:r>
    </w:p>
    <w:p w:rsidR="007A4BA7" w:rsidRPr="007A4BA7" w:rsidRDefault="007A4BA7" w:rsidP="009F645A">
      <w:pPr>
        <w:pStyle w:val="Paragraphedeliste"/>
        <w:numPr>
          <w:ilvl w:val="0"/>
          <w:numId w:val="3"/>
        </w:numPr>
        <w:jc w:val="both"/>
        <w:rPr>
          <w:sz w:val="22"/>
        </w:rPr>
      </w:pPr>
      <w:r w:rsidRPr="007A4BA7">
        <w:rPr>
          <w:sz w:val="22"/>
        </w:rPr>
        <w:t>Pour des puissances &gt;ou = 100 kVA, on utilise toujours le comptage de type AMR,</w:t>
      </w:r>
    </w:p>
    <w:p w:rsidR="007A4BA7" w:rsidRPr="007A4BA7" w:rsidRDefault="007A4BA7" w:rsidP="009F645A">
      <w:pPr>
        <w:pStyle w:val="Paragraphedeliste"/>
        <w:numPr>
          <w:ilvl w:val="0"/>
          <w:numId w:val="3"/>
        </w:numPr>
        <w:jc w:val="both"/>
        <w:rPr>
          <w:sz w:val="22"/>
        </w:rPr>
      </w:pPr>
      <w:r w:rsidRPr="007A4BA7">
        <w:rPr>
          <w:sz w:val="22"/>
        </w:rPr>
        <w:t>Pour des intensités &gt; 100 A, on utilise toujours le comptage de type MT avec transformateurs de courant (TC)</w:t>
      </w:r>
    </w:p>
    <w:p w:rsidR="007A4BA7" w:rsidRDefault="007A4BA7" w:rsidP="007A4BA7">
      <w:pPr>
        <w:jc w:val="both"/>
      </w:pPr>
      <w:r>
        <w:t>Le client paie une redevance de location pour le compteur.</w:t>
      </w:r>
    </w:p>
    <w:p w:rsidR="00764537" w:rsidRPr="00831C67" w:rsidRDefault="00764537" w:rsidP="007A4BA7">
      <w:pPr>
        <w:jc w:val="both"/>
        <w:rPr>
          <w:b/>
          <w:u w:val="single"/>
        </w:rPr>
      </w:pPr>
      <w:r w:rsidRPr="00831C67">
        <w:rPr>
          <w:b/>
          <w:u w:val="single"/>
        </w:rPr>
        <w:t>Travaux réalisés par le GRD et compris dans le forfait</w:t>
      </w:r>
    </w:p>
    <w:p w:rsidR="008F5F55" w:rsidRDefault="00764537" w:rsidP="008F5F55">
      <w:pPr>
        <w:jc w:val="both"/>
        <w:rPr>
          <w:rFonts w:eastAsiaTheme="minorHAnsi"/>
        </w:rPr>
      </w:pPr>
      <w:r w:rsidRPr="00ED3F5C">
        <w:rPr>
          <w:rFonts w:eastAsiaTheme="minorHAnsi"/>
        </w:rPr>
        <w:t>Le(s) m</w:t>
      </w:r>
      <w:r w:rsidR="008F5F55">
        <w:rPr>
          <w:rFonts w:eastAsiaTheme="minorHAnsi"/>
        </w:rPr>
        <w:t>odule(s) de comptage comprend :</w:t>
      </w:r>
    </w:p>
    <w:p w:rsidR="008F5F55" w:rsidRPr="008F5F55" w:rsidRDefault="008F5F55" w:rsidP="009F645A">
      <w:pPr>
        <w:pStyle w:val="Paragraphedeliste"/>
        <w:numPr>
          <w:ilvl w:val="0"/>
          <w:numId w:val="3"/>
        </w:numPr>
        <w:jc w:val="both"/>
        <w:rPr>
          <w:sz w:val="22"/>
        </w:rPr>
      </w:pPr>
      <w:r w:rsidRPr="008F5F55">
        <w:rPr>
          <w:sz w:val="22"/>
        </w:rPr>
        <w:t>La pose de la dalle de comptage en fonction de la puissance</w:t>
      </w:r>
    </w:p>
    <w:p w:rsidR="008F5F55" w:rsidRPr="008F5F55" w:rsidRDefault="008F5F55" w:rsidP="009F645A">
      <w:pPr>
        <w:pStyle w:val="Paragraphedeliste"/>
        <w:numPr>
          <w:ilvl w:val="0"/>
          <w:numId w:val="3"/>
        </w:numPr>
        <w:jc w:val="both"/>
        <w:rPr>
          <w:sz w:val="22"/>
        </w:rPr>
      </w:pPr>
      <w:r w:rsidRPr="008F5F55">
        <w:rPr>
          <w:sz w:val="22"/>
        </w:rPr>
        <w:t>La fourniture et la pose du coffret</w:t>
      </w:r>
    </w:p>
    <w:p w:rsidR="008F5F55" w:rsidRPr="008F5F55" w:rsidRDefault="008F5F55" w:rsidP="009F645A">
      <w:pPr>
        <w:pStyle w:val="Paragraphedeliste"/>
        <w:numPr>
          <w:ilvl w:val="0"/>
          <w:numId w:val="3"/>
        </w:numPr>
        <w:jc w:val="both"/>
        <w:rPr>
          <w:sz w:val="22"/>
        </w:rPr>
      </w:pPr>
      <w:r w:rsidRPr="008F5F55">
        <w:rPr>
          <w:sz w:val="22"/>
        </w:rPr>
        <w:t>La fourniture et la pose du câblage</w:t>
      </w:r>
    </w:p>
    <w:p w:rsidR="008F5F55" w:rsidRPr="008F5F55" w:rsidRDefault="008F5F55" w:rsidP="009F645A">
      <w:pPr>
        <w:pStyle w:val="Paragraphedeliste"/>
        <w:numPr>
          <w:ilvl w:val="0"/>
          <w:numId w:val="3"/>
        </w:numPr>
        <w:jc w:val="both"/>
        <w:rPr>
          <w:sz w:val="22"/>
        </w:rPr>
      </w:pPr>
      <w:r w:rsidRPr="008F5F55">
        <w:rPr>
          <w:sz w:val="22"/>
        </w:rPr>
        <w:t>La connexion du câble de l’installation du client</w:t>
      </w:r>
    </w:p>
    <w:p w:rsidR="008F5F55" w:rsidRPr="008F5F55" w:rsidRDefault="008F5F55" w:rsidP="009F645A">
      <w:pPr>
        <w:pStyle w:val="Paragraphedeliste"/>
        <w:numPr>
          <w:ilvl w:val="0"/>
          <w:numId w:val="3"/>
        </w:numPr>
        <w:jc w:val="both"/>
        <w:rPr>
          <w:sz w:val="22"/>
        </w:rPr>
      </w:pPr>
      <w:r w:rsidRPr="008F5F55">
        <w:rPr>
          <w:sz w:val="22"/>
        </w:rPr>
        <w:t>La fourniture et la pose des transformateurs de courant</w:t>
      </w:r>
    </w:p>
    <w:p w:rsidR="008F5F55" w:rsidRPr="008F5F55" w:rsidRDefault="008F5F55" w:rsidP="009F645A">
      <w:pPr>
        <w:pStyle w:val="Paragraphedeliste"/>
        <w:numPr>
          <w:ilvl w:val="0"/>
          <w:numId w:val="3"/>
        </w:numPr>
        <w:jc w:val="both"/>
        <w:rPr>
          <w:sz w:val="22"/>
        </w:rPr>
      </w:pPr>
      <w:r w:rsidRPr="008F5F55">
        <w:rPr>
          <w:sz w:val="22"/>
        </w:rPr>
        <w:t>La fourniture et la pose chez l’utilisateur du réseau d’un disjoncteur de calibre égal à la puissance demandée</w:t>
      </w:r>
    </w:p>
    <w:p w:rsidR="008F5F55" w:rsidRPr="008F5F55" w:rsidRDefault="008F5F55" w:rsidP="009F645A">
      <w:pPr>
        <w:pStyle w:val="Paragraphedeliste"/>
        <w:numPr>
          <w:ilvl w:val="0"/>
          <w:numId w:val="3"/>
        </w:numPr>
        <w:jc w:val="both"/>
        <w:rPr>
          <w:sz w:val="22"/>
        </w:rPr>
      </w:pPr>
      <w:r w:rsidRPr="008F5F55">
        <w:rPr>
          <w:sz w:val="22"/>
        </w:rPr>
        <w:t>La première mise en service</w:t>
      </w:r>
    </w:p>
    <w:p w:rsidR="00764537" w:rsidRPr="008F5F55" w:rsidRDefault="00764537" w:rsidP="008F5F55">
      <w:pPr>
        <w:jc w:val="both"/>
      </w:pPr>
      <w:r w:rsidRPr="008F5F55">
        <w:rPr>
          <w:b/>
          <w:u w:val="single"/>
        </w:rPr>
        <w:t>Travaux à réaliser par le demandeur</w:t>
      </w:r>
    </w:p>
    <w:p w:rsidR="00764537" w:rsidRDefault="00764537" w:rsidP="009F645A">
      <w:pPr>
        <w:pStyle w:val="Paragraphedeliste"/>
        <w:numPr>
          <w:ilvl w:val="0"/>
          <w:numId w:val="3"/>
        </w:numPr>
        <w:jc w:val="both"/>
        <w:rPr>
          <w:sz w:val="22"/>
        </w:rPr>
      </w:pPr>
      <w:r w:rsidRPr="00ED3F5C">
        <w:rPr>
          <w:sz w:val="22"/>
        </w:rPr>
        <w:t>Mettre à disposition un espace sec et accessible, aussi près que possible</w:t>
      </w:r>
      <w:r>
        <w:rPr>
          <w:sz w:val="22"/>
        </w:rPr>
        <w:t xml:space="preserve"> </w:t>
      </w:r>
      <w:r w:rsidRPr="00ED3F5C">
        <w:rPr>
          <w:sz w:val="22"/>
        </w:rPr>
        <w:t>de la voie publique pour le placement du compteur électrique sur une</w:t>
      </w:r>
      <w:r>
        <w:rPr>
          <w:sz w:val="22"/>
        </w:rPr>
        <w:t xml:space="preserve"> </w:t>
      </w:r>
      <w:r w:rsidRPr="00ED3F5C">
        <w:rPr>
          <w:sz w:val="22"/>
        </w:rPr>
        <w:t>surface rigide, plane et facile d’accès à maximum 3 mètres du point de</w:t>
      </w:r>
      <w:r w:rsidRPr="00ED3F5C">
        <w:t xml:space="preserve"> </w:t>
      </w:r>
      <w:r w:rsidRPr="00ED3F5C">
        <w:rPr>
          <w:sz w:val="22"/>
        </w:rPr>
        <w:t xml:space="preserve">percée dans le mur de façade de </w:t>
      </w:r>
      <w:r w:rsidR="00AF0BD9" w:rsidRPr="00ED3F5C">
        <w:rPr>
          <w:sz w:val="22"/>
        </w:rPr>
        <w:t>l’immeuble,</w:t>
      </w:r>
      <w:r w:rsidRPr="00ED3F5C">
        <w:rPr>
          <w:sz w:val="22"/>
        </w:rPr>
        <w:t xml:space="preserve"> ne pas placer un compteur au</w:t>
      </w:r>
      <w:r>
        <w:rPr>
          <w:sz w:val="22"/>
        </w:rPr>
        <w:t>-</w:t>
      </w:r>
      <w:r w:rsidRPr="00ED3F5C">
        <w:rPr>
          <w:sz w:val="22"/>
        </w:rPr>
        <w:t>dessus d’un compteur gaz</w:t>
      </w:r>
    </w:p>
    <w:p w:rsidR="00764537" w:rsidRPr="00ED3F5C" w:rsidRDefault="00764537" w:rsidP="009F645A">
      <w:pPr>
        <w:pStyle w:val="Paragraphedeliste"/>
        <w:numPr>
          <w:ilvl w:val="0"/>
          <w:numId w:val="3"/>
        </w:numPr>
        <w:jc w:val="both"/>
        <w:rPr>
          <w:sz w:val="22"/>
        </w:rPr>
      </w:pPr>
      <w:r w:rsidRPr="00ED3F5C">
        <w:rPr>
          <w:sz w:val="22"/>
        </w:rPr>
        <w:t>La fourniture et le placement d’un module de raccordement 25S60 par</w:t>
      </w:r>
      <w:r>
        <w:rPr>
          <w:sz w:val="22"/>
        </w:rPr>
        <w:t xml:space="preserve"> </w:t>
      </w:r>
      <w:r w:rsidRPr="00ED3F5C">
        <w:rPr>
          <w:sz w:val="22"/>
        </w:rPr>
        <w:t>compteur</w:t>
      </w:r>
    </w:p>
    <w:p w:rsidR="00764537" w:rsidRPr="00ED3F5C" w:rsidRDefault="00764537" w:rsidP="009F645A">
      <w:pPr>
        <w:pStyle w:val="Paragraphedeliste"/>
        <w:numPr>
          <w:ilvl w:val="0"/>
          <w:numId w:val="3"/>
        </w:numPr>
        <w:jc w:val="both"/>
        <w:rPr>
          <w:sz w:val="22"/>
        </w:rPr>
      </w:pPr>
      <w:r w:rsidRPr="00ED3F5C">
        <w:rPr>
          <w:sz w:val="22"/>
        </w:rPr>
        <w:t>La réalisation de la liaison du coffret au tableau divisionnaire.</w:t>
      </w:r>
    </w:p>
    <w:p w:rsidR="00764537" w:rsidRPr="00ED3F5C" w:rsidRDefault="00764537" w:rsidP="009F645A">
      <w:pPr>
        <w:pStyle w:val="Paragraphedeliste"/>
        <w:numPr>
          <w:ilvl w:val="0"/>
          <w:numId w:val="3"/>
        </w:numPr>
        <w:jc w:val="both"/>
        <w:rPr>
          <w:sz w:val="22"/>
        </w:rPr>
      </w:pPr>
      <w:r w:rsidRPr="00ED3F5C">
        <w:rPr>
          <w:sz w:val="22"/>
        </w:rPr>
        <w:t>L’inspection par un organisme agréé en vue de sa réception et de sa mise</w:t>
      </w:r>
      <w:r>
        <w:rPr>
          <w:sz w:val="22"/>
        </w:rPr>
        <w:t xml:space="preserve"> </w:t>
      </w:r>
      <w:r w:rsidRPr="00ED3F5C">
        <w:rPr>
          <w:sz w:val="22"/>
        </w:rPr>
        <w:t>en service.</w:t>
      </w:r>
    </w:p>
    <w:p w:rsidR="00764537" w:rsidRDefault="00764537" w:rsidP="00764537">
      <w:pPr>
        <w:jc w:val="both"/>
        <w:rPr>
          <w:b/>
          <w:u w:val="single"/>
        </w:rPr>
      </w:pPr>
      <w:r w:rsidRPr="00831C67">
        <w:rPr>
          <w:b/>
          <w:u w:val="single"/>
        </w:rPr>
        <w:t>Travaux réalisés par le GRD et non compris dans le forfait (facturés en Divers)</w:t>
      </w:r>
    </w:p>
    <w:p w:rsidR="00764537" w:rsidRPr="00ED3F5C" w:rsidRDefault="00764537" w:rsidP="009F645A">
      <w:pPr>
        <w:pStyle w:val="Paragraphedeliste"/>
        <w:numPr>
          <w:ilvl w:val="0"/>
          <w:numId w:val="3"/>
        </w:numPr>
        <w:rPr>
          <w:sz w:val="22"/>
        </w:rPr>
      </w:pPr>
      <w:r w:rsidRPr="00ED3F5C">
        <w:rPr>
          <w:sz w:val="22"/>
        </w:rPr>
        <w:t>La mise à disposition d’impulsions pour l’utilisateur de réseau</w:t>
      </w:r>
    </w:p>
    <w:p w:rsidR="00764537" w:rsidRDefault="00764537" w:rsidP="00764537">
      <w:r>
        <w:t xml:space="preserve">Remarque : </w:t>
      </w:r>
    </w:p>
    <w:p w:rsidR="00764537" w:rsidRPr="00ED3F5C" w:rsidRDefault="00764537" w:rsidP="009F645A">
      <w:pPr>
        <w:pStyle w:val="Paragraphedeliste"/>
        <w:numPr>
          <w:ilvl w:val="0"/>
          <w:numId w:val="3"/>
        </w:numPr>
        <w:rPr>
          <w:sz w:val="22"/>
        </w:rPr>
      </w:pPr>
      <w:r w:rsidRPr="00ED3F5C">
        <w:rPr>
          <w:sz w:val="22"/>
        </w:rPr>
        <w:t>Le ou les compteurs restent propriété du GRD</w:t>
      </w:r>
    </w:p>
    <w:p w:rsidR="00764537" w:rsidRDefault="00764537" w:rsidP="009F645A">
      <w:pPr>
        <w:pStyle w:val="Paragraphedeliste"/>
        <w:numPr>
          <w:ilvl w:val="0"/>
          <w:numId w:val="3"/>
        </w:numPr>
        <w:rPr>
          <w:sz w:val="22"/>
        </w:rPr>
      </w:pPr>
      <w:r w:rsidRPr="00ED3F5C">
        <w:rPr>
          <w:sz w:val="22"/>
        </w:rPr>
        <w:t>Le terme C ne se substitue pas à la redevance de location de compteur</w:t>
      </w:r>
    </w:p>
    <w:tbl>
      <w:tblPr>
        <w:tblW w:w="0" w:type="auto"/>
        <w:jc w:val="center"/>
        <w:tblCellMar>
          <w:left w:w="70" w:type="dxa"/>
          <w:right w:w="70" w:type="dxa"/>
        </w:tblCellMar>
        <w:tblLook w:val="04A0" w:firstRow="1" w:lastRow="0" w:firstColumn="1" w:lastColumn="0" w:noHBand="0" w:noVBand="1"/>
      </w:tblPr>
      <w:tblGrid>
        <w:gridCol w:w="2468"/>
        <w:gridCol w:w="1075"/>
      </w:tblGrid>
      <w:tr w:rsidR="007F7467" w:rsidRPr="007F7467" w:rsidTr="007F7467">
        <w:trPr>
          <w:trHeight w:val="36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rPr>
                <w:rFonts w:ascii="Palatino Linotype" w:eastAsia="Times New Roman" w:hAnsi="Palatino Linotype" w:cs="Calibri"/>
                <w:b/>
                <w:bCs/>
                <w:color w:val="000000"/>
              </w:rPr>
            </w:pPr>
            <w:r w:rsidRPr="007F7467">
              <w:rPr>
                <w:rFonts w:ascii="Palatino Linotype" w:eastAsia="Times New Roman" w:hAnsi="Palatino Linotype" w:cs="Calibri"/>
                <w:b/>
                <w:bCs/>
                <w:color w:val="000000"/>
              </w:rPr>
              <w:t>Triphasé – 1 compteurs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b/>
                <w:bCs/>
                <w:color w:val="000000"/>
              </w:rPr>
            </w:pPr>
            <w:r w:rsidRPr="007F7467">
              <w:rPr>
                <w:rFonts w:ascii="Palatino Linotype" w:eastAsia="Times New Roman" w:hAnsi="Palatino Linotype" w:cs="Calibri"/>
                <w:b/>
                <w:bCs/>
                <w:color w:val="000000"/>
              </w:rPr>
              <w:t>2.309,82 €</w:t>
            </w:r>
          </w:p>
        </w:tc>
      </w:tr>
    </w:tbl>
    <w:p w:rsidR="008F5F55" w:rsidRDefault="008F5F55" w:rsidP="004946CB">
      <w:pPr>
        <w:pStyle w:val="Titre3"/>
        <w:spacing w:after="240"/>
        <w:rPr>
          <w:bCs w:val="0"/>
          <w:i w:val="0"/>
        </w:rPr>
      </w:pPr>
    </w:p>
    <w:p w:rsidR="004946CB" w:rsidRPr="004946CB" w:rsidRDefault="004946CB" w:rsidP="004946CB"/>
    <w:p w:rsidR="008F5F55" w:rsidRDefault="008F5F55" w:rsidP="009F645A">
      <w:pPr>
        <w:pStyle w:val="Titre3"/>
        <w:numPr>
          <w:ilvl w:val="2"/>
          <w:numId w:val="7"/>
        </w:numPr>
        <w:spacing w:after="240"/>
      </w:pPr>
      <w:r>
        <w:t>Frais d’ouverture de dossier et d’Etude</w:t>
      </w:r>
    </w:p>
    <w:p w:rsidR="008F5F55" w:rsidRDefault="008F5F55" w:rsidP="008F5F55">
      <w:pPr>
        <w:jc w:val="both"/>
      </w:pPr>
      <w:r>
        <w:t xml:space="preserve">Des frais d’ouverture de dossier d’un montant de 250 € sont facturés par demandeur. Si une demande de lotissement est introduite par plusieurs demandeurs, il sera facturé autant de fois 250 € qu’il y a de demandeurs. </w:t>
      </w:r>
    </w:p>
    <w:p w:rsidR="008F5F55" w:rsidRDefault="008F5F55" w:rsidP="008F5F55">
      <w:pPr>
        <w:jc w:val="both"/>
      </w:pPr>
      <w:r>
        <w:t>De plus, des frais d’étude détaillée sont à charge du demandeur, ceux-ci corresponde</w:t>
      </w:r>
      <w:r w:rsidR="00BF1A79">
        <w:t>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1F1DBF" w:rsidRPr="00F66F20" w:rsidTr="001F1DBF">
        <w:tc>
          <w:tcPr>
            <w:tcW w:w="6912" w:type="dxa"/>
            <w:vAlign w:val="center"/>
          </w:tcPr>
          <w:p w:rsidR="001F1DBF" w:rsidRPr="00F66F20" w:rsidRDefault="001F1DBF" w:rsidP="001F1DBF">
            <w:pPr>
              <w:rPr>
                <w:b/>
              </w:rPr>
            </w:pPr>
            <w:r>
              <w:rPr>
                <w:b/>
              </w:rPr>
              <w:t>Frais d’ouverture de dossier</w:t>
            </w:r>
          </w:p>
        </w:tc>
        <w:tc>
          <w:tcPr>
            <w:tcW w:w="3035" w:type="dxa"/>
            <w:vAlign w:val="center"/>
          </w:tcPr>
          <w:p w:rsidR="001F1DBF" w:rsidRPr="00F66F20" w:rsidRDefault="001F1DBF" w:rsidP="001F1DBF">
            <w:pPr>
              <w:jc w:val="center"/>
              <w:rPr>
                <w:b/>
              </w:rPr>
            </w:pPr>
            <w:r>
              <w:rPr>
                <w:b/>
              </w:rPr>
              <w:t>250 €</w:t>
            </w:r>
          </w:p>
        </w:tc>
      </w:tr>
      <w:tr w:rsidR="001F1DBF" w:rsidRPr="00F66F20" w:rsidTr="001F1DBF">
        <w:tc>
          <w:tcPr>
            <w:tcW w:w="6912" w:type="dxa"/>
            <w:vAlign w:val="center"/>
          </w:tcPr>
          <w:p w:rsidR="001F1DBF" w:rsidRPr="00F66F20" w:rsidRDefault="001F1DBF" w:rsidP="001F1DBF">
            <w:pPr>
              <w:rPr>
                <w:b/>
              </w:rPr>
            </w:pPr>
            <w:r>
              <w:rPr>
                <w:b/>
              </w:rPr>
              <w:t>Frais d’étude</w:t>
            </w:r>
          </w:p>
        </w:tc>
        <w:tc>
          <w:tcPr>
            <w:tcW w:w="3035" w:type="dxa"/>
            <w:vAlign w:val="center"/>
          </w:tcPr>
          <w:p w:rsidR="001F1DBF" w:rsidRPr="00F66F20" w:rsidRDefault="001F1DBF" w:rsidP="00C625DC">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1F1DBF" w:rsidRDefault="001F1DBF" w:rsidP="008F5F55">
      <w:pPr>
        <w:jc w:val="both"/>
      </w:pPr>
    </w:p>
    <w:p w:rsidR="00764537" w:rsidRPr="005E129C" w:rsidRDefault="00764537" w:rsidP="00A04475">
      <w:pPr>
        <w:jc w:val="center"/>
        <w:rPr>
          <w:b/>
        </w:rPr>
      </w:pPr>
    </w:p>
    <w:p w:rsidR="00BE5245" w:rsidRDefault="00BE5245" w:rsidP="009F645A">
      <w:pPr>
        <w:pStyle w:val="Titre2"/>
        <w:pageBreakBefore/>
        <w:numPr>
          <w:ilvl w:val="1"/>
          <w:numId w:val="14"/>
        </w:numPr>
        <w:spacing w:after="240"/>
      </w:pPr>
      <w:bookmarkStart w:id="6" w:name="_Toc524081178"/>
      <w:r>
        <w:t>Raccordement MT jusqu’à 5 MVA</w:t>
      </w:r>
      <w:bookmarkEnd w:id="6"/>
    </w:p>
    <w:p w:rsidR="00A04475" w:rsidRDefault="00A04475" w:rsidP="00D05A02">
      <w:pPr>
        <w:jc w:val="both"/>
      </w:pPr>
      <w:r>
        <w:t>Par raccordement MT (moyenne tension), on entend un raccordement au réseau MT &lt; 20kV du GRD.</w:t>
      </w:r>
    </w:p>
    <w:p w:rsidR="00A04475" w:rsidRDefault="00A04475" w:rsidP="00D05A02">
      <w:pPr>
        <w:jc w:val="both"/>
      </w:pPr>
      <w:r>
        <w:t>Ce type de raccordement est d’application pour tout utilisateur de réseau demandant une puissance entre 100 kVA et 5MVA à condition d'avoir la confirmation de la disponibilité de cette capacité sur le réseau MT par le GRD (gestionnaire du réseau de distribution). Il peut être également imposé par le GRD pour des puissances inférieures si le réseau ne permet pas une solution technique BT (basse tension).</w:t>
      </w:r>
    </w:p>
    <w:p w:rsidR="00A04475" w:rsidRDefault="00A04475" w:rsidP="00D05A02">
      <w:pPr>
        <w:jc w:val="both"/>
      </w:pPr>
      <w:r>
        <w:t>Le tarif de raccordement est d'application pour tout raccordement standard au réseau MT de type 11-15kV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D05A02">
      <w:pPr>
        <w:jc w:val="both"/>
      </w:pPr>
      <w:r>
        <w:t>Les prix unitaires sont exprimés en Euros, hors TVA.</w:t>
      </w:r>
    </w:p>
    <w:p w:rsidR="00A04475" w:rsidRDefault="00A04475" w:rsidP="00D05A02">
      <w:pPr>
        <w:jc w:val="both"/>
        <w:rPr>
          <w:b/>
        </w:rPr>
      </w:pPr>
      <w:r w:rsidRPr="00A04475">
        <w:rPr>
          <w:b/>
        </w:rPr>
        <w:t>Ces montants sont des interventions financières à charge du demandeur et n’emportent aucun droit de propriété sur les installations en domaine public qui restent propriété du GRD.</w:t>
      </w:r>
    </w:p>
    <w:p w:rsidR="00A04475" w:rsidRDefault="00A04475" w:rsidP="00D05A02">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546FB2" w:rsidRDefault="00546FB2" w:rsidP="009F645A">
      <w:pPr>
        <w:pStyle w:val="Titre3"/>
        <w:numPr>
          <w:ilvl w:val="2"/>
          <w:numId w:val="8"/>
        </w:numPr>
        <w:spacing w:after="240"/>
      </w:pPr>
      <w:r>
        <w:t>Accès au réseau</w:t>
      </w:r>
    </w:p>
    <w:p w:rsidR="00546FB2" w:rsidRDefault="00546FB2" w:rsidP="00546FB2">
      <w:pPr>
        <w:jc w:val="both"/>
      </w:pPr>
      <w:r>
        <w:t xml:space="preserve">Ce poste sert à financer l’infrastructure en amont du raccordement de l’utilisateur de réseau jusque et y compris à la sous-station Elia. </w:t>
      </w:r>
    </w:p>
    <w:p w:rsidR="00546FB2" w:rsidRDefault="00546FB2" w:rsidP="00546FB2">
      <w:pPr>
        <w:jc w:val="both"/>
      </w:pPr>
      <w:r>
        <w:t>Le demandeur paie un forfait par kVA utilisé dès le premier kVA à concurrence de la puissance qu’il demande. ATTENTION : Ce tarif est d’application avec un minimum de 100 kVA. Même si la puissance contractuelle demandée par l’utilisateur est inférieure à 100 kVA, ce minimum lui sera facturé.</w:t>
      </w:r>
    </w:p>
    <w:p w:rsidR="00546FB2" w:rsidRDefault="00546FB2" w:rsidP="00546FB2">
      <w:pPr>
        <w:jc w:val="both"/>
      </w:pPr>
      <w:r>
        <w:t>La puissance demandée est la puissance de réglage de la protection générale de l’installation du demandeur. Il s’agit de la puissance maximale prélevée qui est également reprise dans le contrat de raccordement comme la puissance contractuelle.</w:t>
      </w:r>
    </w:p>
    <w:p w:rsidR="00546FB2" w:rsidRDefault="00546FB2" w:rsidP="00546FB2">
      <w:pPr>
        <w:jc w:val="both"/>
      </w:pPr>
      <w:r>
        <w:t>Il ne s’agit donc ni de la puissance installée, ni de la puissance maximale disponible sur le câble de raccordement.</w:t>
      </w:r>
    </w:p>
    <w:p w:rsidR="00D05A02" w:rsidRDefault="00D05A02" w:rsidP="00546FB2">
      <w:pPr>
        <w:jc w:val="both"/>
        <w:rPr>
          <w:u w:val="single"/>
        </w:rPr>
      </w:pPr>
    </w:p>
    <w:p w:rsidR="00D05A02" w:rsidRDefault="00D05A02" w:rsidP="00546FB2">
      <w:pPr>
        <w:jc w:val="both"/>
        <w:rPr>
          <w:u w:val="single"/>
        </w:rPr>
      </w:pPr>
    </w:p>
    <w:p w:rsidR="00546FB2" w:rsidRPr="00546FB2" w:rsidRDefault="00546FB2" w:rsidP="00546FB2">
      <w:pPr>
        <w:jc w:val="both"/>
        <w:rPr>
          <w:u w:val="single"/>
        </w:rPr>
      </w:pPr>
      <w:r w:rsidRPr="00546FB2">
        <w:rPr>
          <w:u w:val="single"/>
        </w:rPr>
        <w:t>Remarque :</w:t>
      </w:r>
    </w:p>
    <w:p w:rsidR="00546FB2" w:rsidRDefault="00546FB2" w:rsidP="00546FB2">
      <w:pPr>
        <w:jc w:val="both"/>
      </w:pPr>
      <w:r>
        <w:t>Dans le cas d’un zoning industriel, le lotisseur/promoteur n’est pas considéré comme client moyenne tension individuel. Par conséquent, il ne paie pas l’intervention forfaitaire (terme A) pour la puissance demandée. La redevance de puissance sera facturée au demandeur venant s’établir dans le zoning. Par contre, les travaux d’infrastructure dans le lotissement moyenne tension (et basse tension) sont pris en charge par le lotisseur/promoteur mais restent propriété de l’Intercommunale qui en assure l’entretien.</w:t>
      </w:r>
    </w:p>
    <w:tbl>
      <w:tblPr>
        <w:tblW w:w="5000" w:type="pct"/>
        <w:tblCellMar>
          <w:left w:w="70" w:type="dxa"/>
          <w:right w:w="70" w:type="dxa"/>
        </w:tblCellMar>
        <w:tblLook w:val="04A0" w:firstRow="1" w:lastRow="0" w:firstColumn="1" w:lastColumn="0" w:noHBand="0" w:noVBand="1"/>
      </w:tblPr>
      <w:tblGrid>
        <w:gridCol w:w="8620"/>
        <w:gridCol w:w="1167"/>
      </w:tblGrid>
      <w:tr w:rsidR="00CF5C6B" w:rsidRPr="00CF5C6B" w:rsidTr="00CF5C6B">
        <w:trPr>
          <w:trHeight w:val="360"/>
        </w:trPr>
        <w:tc>
          <w:tcPr>
            <w:tcW w:w="440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5C6B" w:rsidRPr="00CF5C6B" w:rsidRDefault="00CF5C6B" w:rsidP="00CF5C6B">
            <w:pPr>
              <w:spacing w:after="0" w:line="240" w:lineRule="auto"/>
              <w:rPr>
                <w:rFonts w:ascii="Palatino Linotype" w:eastAsia="Times New Roman" w:hAnsi="Palatino Linotype" w:cs="Calibri"/>
                <w:b/>
                <w:bCs/>
                <w:color w:val="000000"/>
              </w:rPr>
            </w:pPr>
            <w:r w:rsidRPr="00CF5C6B">
              <w:rPr>
                <w:rFonts w:ascii="Palatino Linotype" w:eastAsia="Times New Roman" w:hAnsi="Palatino Linotype" w:cs="Calibri"/>
                <w:b/>
                <w:bCs/>
                <w:color w:val="000000"/>
              </w:rPr>
              <w:t xml:space="preserve">Droit de prélèvement ou d’injection de puissance au réseau de distribution </w:t>
            </w:r>
            <w:r w:rsidR="00066A74">
              <w:rPr>
                <w:rFonts w:ascii="Palatino Linotype" w:eastAsia="Times New Roman" w:hAnsi="Palatino Linotype" w:cs="Calibri"/>
                <w:b/>
                <w:bCs/>
                <w:color w:val="000000"/>
              </w:rPr>
              <w:t>MT</w:t>
            </w:r>
          </w:p>
        </w:tc>
        <w:tc>
          <w:tcPr>
            <w:tcW w:w="596" w:type="pct"/>
            <w:tcBorders>
              <w:top w:val="single" w:sz="8" w:space="0" w:color="auto"/>
              <w:left w:val="nil"/>
              <w:bottom w:val="single" w:sz="8" w:space="0" w:color="auto"/>
              <w:right w:val="single" w:sz="8" w:space="0" w:color="auto"/>
            </w:tcBorders>
            <w:shd w:val="clear" w:color="auto" w:fill="auto"/>
            <w:noWrap/>
            <w:vAlign w:val="center"/>
            <w:hideMark/>
          </w:tcPr>
          <w:p w:rsidR="00CF5C6B" w:rsidRPr="00CF5C6B" w:rsidRDefault="006E15A7" w:rsidP="00CF5C6B">
            <w:pPr>
              <w:spacing w:after="0" w:line="240" w:lineRule="auto"/>
              <w:jc w:val="center"/>
              <w:rPr>
                <w:rFonts w:ascii="Palatino Linotype" w:eastAsia="Times New Roman" w:hAnsi="Palatino Linotype" w:cs="Calibri"/>
                <w:b/>
                <w:bCs/>
                <w:color w:val="000000"/>
              </w:rPr>
            </w:pPr>
            <w:r>
              <w:rPr>
                <w:rFonts w:ascii="Palatino Linotype" w:eastAsia="Times New Roman" w:hAnsi="Palatino Linotype" w:cs="Calibri"/>
                <w:b/>
                <w:bCs/>
                <w:color w:val="000000"/>
              </w:rPr>
              <w:t>71,</w:t>
            </w:r>
            <w:r w:rsidR="007F7467">
              <w:rPr>
                <w:rFonts w:ascii="Palatino Linotype" w:eastAsia="Times New Roman" w:hAnsi="Palatino Linotype" w:cs="Calibri"/>
                <w:b/>
                <w:bCs/>
                <w:color w:val="000000"/>
              </w:rPr>
              <w:t>68</w:t>
            </w:r>
            <w:r>
              <w:rPr>
                <w:rFonts w:ascii="Palatino Linotype" w:eastAsia="Times New Roman" w:hAnsi="Palatino Linotype" w:cs="Calibri"/>
                <w:b/>
                <w:bCs/>
                <w:color w:val="000000"/>
              </w:rPr>
              <w:t xml:space="preserve"> €</w:t>
            </w:r>
          </w:p>
        </w:tc>
      </w:tr>
    </w:tbl>
    <w:p w:rsidR="00285194" w:rsidRDefault="00285194" w:rsidP="00546FB2">
      <w:pPr>
        <w:jc w:val="both"/>
      </w:pPr>
    </w:p>
    <w:p w:rsidR="00546FB2" w:rsidRDefault="00546FB2" w:rsidP="009F645A">
      <w:pPr>
        <w:pStyle w:val="Titre3"/>
        <w:numPr>
          <w:ilvl w:val="2"/>
          <w:numId w:val="8"/>
        </w:numPr>
        <w:spacing w:after="240"/>
      </w:pPr>
      <w:r>
        <w:t>Branchement</w:t>
      </w:r>
    </w:p>
    <w:p w:rsidR="00546FB2" w:rsidRDefault="00546FB2" w:rsidP="00546FB2">
      <w:pPr>
        <w:jc w:val="both"/>
      </w:pPr>
      <w:r>
        <w:t>L’emplacement et les modalités particulières pour la cabine moyenne tension seront examinés et convenus (accord préalable formel du GRD sur les plans d’exécution détaillés et des caractéristiques techniques des équipements) d’un commun accord entre l’utilisateur de réseau et le GRD. Ils sont conformes au cahier des charges Synergrid (C2/112).</w:t>
      </w:r>
    </w:p>
    <w:p w:rsidR="00546FB2" w:rsidRDefault="00546FB2" w:rsidP="00546FB2">
      <w:pPr>
        <w:jc w:val="both"/>
      </w:pPr>
      <w:r>
        <w:t>Le raccordement standard est basé sur un raccordement souterrain en entrée/sortie, c’est-à-dire en boucle dans le réseau MT du GRD. Il s’agit de la configuration la plus souvent rencontrée.</w:t>
      </w:r>
      <w:r w:rsidR="00381AA2">
        <w:t xml:space="preserve"> Un forfait couvre les travaux de connexion dans la cabine client ainsi que les jonctions sur le réseau existant. </w:t>
      </w:r>
      <w:r w:rsidR="00AF0BD9">
        <w:t>La tranchée</w:t>
      </w:r>
      <w:r w:rsidR="00381AA2">
        <w:t xml:space="preserve"> entre ces deux points, est calculée sur un prix au mètre. Le câble fera l’objet d’un devis.</w:t>
      </w:r>
    </w:p>
    <w:p w:rsidR="00546FB2" w:rsidRDefault="00546FB2" w:rsidP="00546FB2">
      <w:pPr>
        <w:jc w:val="both"/>
      </w:pPr>
      <w:r>
        <w:t>NB : La configuration en boucle ne garantit aucunement à l’utilisateur une mise à disposition sans discontinuer de la puissance souscrite. Si l’utilisateur exige cette disponibilité, il faut le considérer comme raccordement de secours qui est facturé distinctement du raccordement standard.</w:t>
      </w:r>
    </w:p>
    <w:p w:rsidR="00546FB2" w:rsidRPr="00831C67" w:rsidRDefault="00546FB2" w:rsidP="00546FB2">
      <w:pPr>
        <w:jc w:val="both"/>
        <w:rPr>
          <w:b/>
          <w:u w:val="single"/>
        </w:rPr>
      </w:pPr>
      <w:r w:rsidRPr="00831C67">
        <w:rPr>
          <w:b/>
          <w:u w:val="single"/>
        </w:rPr>
        <w:t>Travaux réalisés par le GRD et compris dans le forfait</w:t>
      </w:r>
    </w:p>
    <w:p w:rsidR="00546FB2" w:rsidRPr="00546FB2" w:rsidRDefault="00381AA2" w:rsidP="009F645A">
      <w:pPr>
        <w:pStyle w:val="Paragraphedeliste"/>
        <w:numPr>
          <w:ilvl w:val="0"/>
          <w:numId w:val="3"/>
        </w:numPr>
        <w:jc w:val="both"/>
        <w:rPr>
          <w:sz w:val="22"/>
        </w:rPr>
      </w:pPr>
      <w:r>
        <w:rPr>
          <w:sz w:val="22"/>
        </w:rPr>
        <w:t>La connexion dans la cabine client</w:t>
      </w:r>
      <w:r w:rsidR="00546FB2" w:rsidRPr="00546FB2">
        <w:rPr>
          <w:sz w:val="22"/>
        </w:rPr>
        <w:t xml:space="preserve"> </w:t>
      </w:r>
    </w:p>
    <w:p w:rsidR="00546FB2" w:rsidRPr="00546FB2" w:rsidRDefault="00546FB2" w:rsidP="009F645A">
      <w:pPr>
        <w:pStyle w:val="Paragraphedeliste"/>
        <w:numPr>
          <w:ilvl w:val="0"/>
          <w:numId w:val="3"/>
        </w:numPr>
        <w:jc w:val="both"/>
        <w:rPr>
          <w:sz w:val="22"/>
        </w:rPr>
      </w:pPr>
      <w:r w:rsidRPr="00546FB2">
        <w:rPr>
          <w:sz w:val="22"/>
        </w:rPr>
        <w:t xml:space="preserve">La fourniture et la réalisation des jonctions sur le </w:t>
      </w:r>
      <w:r w:rsidR="00AF0BD9" w:rsidRPr="00546FB2">
        <w:rPr>
          <w:sz w:val="22"/>
        </w:rPr>
        <w:t>réseau ;</w:t>
      </w:r>
    </w:p>
    <w:p w:rsidR="00546FB2" w:rsidRPr="00546FB2" w:rsidRDefault="00546FB2" w:rsidP="009F645A">
      <w:pPr>
        <w:pStyle w:val="Paragraphedeliste"/>
        <w:numPr>
          <w:ilvl w:val="0"/>
          <w:numId w:val="3"/>
        </w:numPr>
        <w:jc w:val="both"/>
        <w:rPr>
          <w:sz w:val="22"/>
        </w:rPr>
      </w:pPr>
      <w:r w:rsidRPr="00546FB2">
        <w:rPr>
          <w:sz w:val="22"/>
        </w:rPr>
        <w:t>Les manœuvres sur le réseau ;</w:t>
      </w:r>
    </w:p>
    <w:p w:rsidR="00546FB2" w:rsidRDefault="00546FB2" w:rsidP="009F645A">
      <w:pPr>
        <w:pStyle w:val="Paragraphedeliste"/>
        <w:numPr>
          <w:ilvl w:val="0"/>
          <w:numId w:val="3"/>
        </w:numPr>
        <w:jc w:val="both"/>
        <w:rPr>
          <w:sz w:val="22"/>
        </w:rPr>
      </w:pPr>
      <w:r w:rsidRPr="00546FB2">
        <w:rPr>
          <w:sz w:val="22"/>
        </w:rPr>
        <w:t>La fourniture et la pose des indicateurs de courant de défaut.</w:t>
      </w:r>
    </w:p>
    <w:p w:rsidR="00546FB2" w:rsidRPr="00546FB2" w:rsidRDefault="00546FB2" w:rsidP="00546FB2">
      <w:pPr>
        <w:pStyle w:val="Paragraphedeliste"/>
        <w:ind w:left="720" w:firstLine="0"/>
        <w:jc w:val="both"/>
        <w:rPr>
          <w:sz w:val="22"/>
        </w:rPr>
      </w:pPr>
    </w:p>
    <w:p w:rsidR="00546FB2" w:rsidRDefault="00546FB2" w:rsidP="00546FB2">
      <w:pPr>
        <w:jc w:val="both"/>
        <w:rPr>
          <w:b/>
          <w:u w:val="single"/>
        </w:rPr>
      </w:pPr>
      <w:r w:rsidRPr="00831C67">
        <w:rPr>
          <w:b/>
          <w:u w:val="single"/>
        </w:rPr>
        <w:t>Travaux</w:t>
      </w:r>
      <w:r>
        <w:rPr>
          <w:b/>
          <w:u w:val="single"/>
        </w:rPr>
        <w:t xml:space="preserve"> à réaliser par le demandeur</w:t>
      </w:r>
    </w:p>
    <w:p w:rsidR="00546FB2" w:rsidRPr="00546FB2" w:rsidRDefault="00546FB2" w:rsidP="009F645A">
      <w:pPr>
        <w:pStyle w:val="Paragraphedeliste"/>
        <w:numPr>
          <w:ilvl w:val="0"/>
          <w:numId w:val="3"/>
        </w:numPr>
        <w:jc w:val="both"/>
        <w:rPr>
          <w:b/>
          <w:sz w:val="22"/>
          <w:u w:val="single"/>
        </w:rPr>
      </w:pPr>
      <w:r w:rsidRPr="00546FB2">
        <w:rPr>
          <w:sz w:val="22"/>
        </w:rPr>
        <w:t>Tous travaux de terrassement et le placement des gaines d’attente en domaine privé ; ce travail peut être réalisé par le GRD à la demande de l’utilisateur du réseau moyennant un supplément de prix (voir Divers)</w:t>
      </w:r>
    </w:p>
    <w:p w:rsidR="00546FB2" w:rsidRPr="00546FB2" w:rsidRDefault="00546FB2" w:rsidP="009F645A">
      <w:pPr>
        <w:pStyle w:val="Paragraphedeliste"/>
        <w:numPr>
          <w:ilvl w:val="0"/>
          <w:numId w:val="3"/>
        </w:numPr>
        <w:jc w:val="both"/>
        <w:rPr>
          <w:sz w:val="22"/>
        </w:rPr>
      </w:pPr>
      <w:r w:rsidRPr="00546FB2">
        <w:rPr>
          <w:sz w:val="22"/>
        </w:rPr>
        <w:t>Tout travail de réparation de revêtement en terrain privé, la réalisation des traversées de façade et leur étanchéité</w:t>
      </w:r>
    </w:p>
    <w:p w:rsidR="00546FB2" w:rsidRDefault="00546FB2" w:rsidP="009F645A">
      <w:pPr>
        <w:pStyle w:val="Paragraphedeliste"/>
        <w:numPr>
          <w:ilvl w:val="0"/>
          <w:numId w:val="3"/>
        </w:numPr>
        <w:jc w:val="both"/>
        <w:rPr>
          <w:sz w:val="22"/>
        </w:rPr>
      </w:pPr>
      <w:r w:rsidRPr="00546FB2">
        <w:rPr>
          <w:sz w:val="22"/>
        </w:rPr>
        <w:t>Le remblai, déblai ou assainissement du sol en domaine privé,</w:t>
      </w:r>
    </w:p>
    <w:p w:rsidR="00546FB2" w:rsidRPr="00546FB2" w:rsidRDefault="00546FB2" w:rsidP="009F645A">
      <w:pPr>
        <w:pStyle w:val="Paragraphedeliste"/>
        <w:numPr>
          <w:ilvl w:val="0"/>
          <w:numId w:val="3"/>
        </w:numPr>
        <w:jc w:val="both"/>
        <w:rPr>
          <w:sz w:val="22"/>
        </w:rPr>
      </w:pPr>
      <w:r w:rsidRPr="00546FB2">
        <w:rPr>
          <w:sz w:val="22"/>
        </w:rPr>
        <w:t>L'installation et équipement de la cabine de l'utilisateur. Les plans y relatifs</w:t>
      </w:r>
      <w:r>
        <w:rPr>
          <w:sz w:val="22"/>
        </w:rPr>
        <w:t xml:space="preserve"> </w:t>
      </w:r>
      <w:r w:rsidRPr="00546FB2">
        <w:rPr>
          <w:sz w:val="22"/>
        </w:rPr>
        <w:t>doivent être acceptés par le GRD et la cabine doit être conforme à la</w:t>
      </w:r>
      <w:r>
        <w:rPr>
          <w:sz w:val="22"/>
        </w:rPr>
        <w:t xml:space="preserve"> </w:t>
      </w:r>
      <w:r w:rsidRPr="00546FB2">
        <w:rPr>
          <w:sz w:val="22"/>
        </w:rPr>
        <w:t>spécification Synergrid (C2/112),</w:t>
      </w:r>
    </w:p>
    <w:p w:rsidR="00546FB2" w:rsidRPr="00546FB2" w:rsidRDefault="00546FB2" w:rsidP="009F645A">
      <w:pPr>
        <w:pStyle w:val="Paragraphedeliste"/>
        <w:numPr>
          <w:ilvl w:val="0"/>
          <w:numId w:val="3"/>
        </w:numPr>
        <w:jc w:val="both"/>
        <w:rPr>
          <w:sz w:val="22"/>
        </w:rPr>
      </w:pPr>
      <w:r w:rsidRPr="00546FB2">
        <w:rPr>
          <w:sz w:val="22"/>
        </w:rPr>
        <w:t>L’inspection de la cabine de l'utilisateur en vue de sa réception par un</w:t>
      </w:r>
      <w:r>
        <w:rPr>
          <w:sz w:val="22"/>
        </w:rPr>
        <w:t xml:space="preserve"> </w:t>
      </w:r>
      <w:r w:rsidRPr="00546FB2">
        <w:rPr>
          <w:sz w:val="22"/>
        </w:rPr>
        <w:t>organisme agréé et de sa mise en service.</w:t>
      </w:r>
    </w:p>
    <w:p w:rsidR="00546FB2" w:rsidRDefault="00546FB2" w:rsidP="00546FB2">
      <w:pPr>
        <w:jc w:val="both"/>
        <w:rPr>
          <w:b/>
          <w:u w:val="single"/>
        </w:rPr>
      </w:pPr>
      <w:r w:rsidRPr="00831C67">
        <w:rPr>
          <w:b/>
          <w:u w:val="single"/>
        </w:rPr>
        <w:t>Travaux réalisés par le GRD et non compris dans le forfait (facturés en Divers)</w:t>
      </w:r>
    </w:p>
    <w:p w:rsidR="00546FB2" w:rsidRPr="00546FB2" w:rsidRDefault="00546FB2" w:rsidP="009F645A">
      <w:pPr>
        <w:pStyle w:val="Paragraphedeliste"/>
        <w:numPr>
          <w:ilvl w:val="0"/>
          <w:numId w:val="3"/>
        </w:numPr>
        <w:jc w:val="both"/>
        <w:rPr>
          <w:sz w:val="22"/>
        </w:rPr>
      </w:pPr>
      <w:r w:rsidRPr="00546FB2">
        <w:rPr>
          <w:sz w:val="22"/>
        </w:rPr>
        <w:t>Les mètres de câble supplémentaires en domaine privé (&gt; 10m),</w:t>
      </w:r>
    </w:p>
    <w:p w:rsidR="00546FB2" w:rsidRPr="00546FB2" w:rsidRDefault="00546FB2" w:rsidP="009F645A">
      <w:pPr>
        <w:pStyle w:val="Paragraphedeliste"/>
        <w:numPr>
          <w:ilvl w:val="0"/>
          <w:numId w:val="3"/>
        </w:numPr>
        <w:jc w:val="both"/>
        <w:rPr>
          <w:sz w:val="22"/>
        </w:rPr>
      </w:pPr>
      <w:r w:rsidRPr="00546FB2">
        <w:rPr>
          <w:sz w:val="22"/>
        </w:rPr>
        <w:t>La télécommande des logettes de l'utilisateur,</w:t>
      </w:r>
    </w:p>
    <w:p w:rsidR="00546FB2" w:rsidRPr="00546FB2" w:rsidRDefault="00546FB2" w:rsidP="009F645A">
      <w:pPr>
        <w:pStyle w:val="Paragraphedeliste"/>
        <w:numPr>
          <w:ilvl w:val="0"/>
          <w:numId w:val="3"/>
        </w:numPr>
        <w:jc w:val="both"/>
        <w:rPr>
          <w:sz w:val="22"/>
        </w:rPr>
      </w:pPr>
      <w:r w:rsidRPr="00546FB2">
        <w:rPr>
          <w:sz w:val="22"/>
        </w:rPr>
        <w:t>La télésignalisation des indicateurs de courant de défaut,</w:t>
      </w:r>
    </w:p>
    <w:p w:rsidR="00546FB2" w:rsidRPr="00546FB2" w:rsidRDefault="00546FB2" w:rsidP="009F645A">
      <w:pPr>
        <w:pStyle w:val="Paragraphedeliste"/>
        <w:numPr>
          <w:ilvl w:val="0"/>
          <w:numId w:val="3"/>
        </w:numPr>
        <w:jc w:val="both"/>
        <w:rPr>
          <w:sz w:val="22"/>
        </w:rPr>
      </w:pPr>
      <w:r w:rsidRPr="00546FB2">
        <w:rPr>
          <w:sz w:val="22"/>
        </w:rPr>
        <w:t>Le forage sous éléments structurels (pont, cours d'eau, chemin de fer, autoroute, …).</w:t>
      </w:r>
    </w:p>
    <w:tbl>
      <w:tblPr>
        <w:tblW w:w="4980" w:type="dxa"/>
        <w:tblCellMar>
          <w:left w:w="70" w:type="dxa"/>
          <w:right w:w="70" w:type="dxa"/>
        </w:tblCellMar>
        <w:tblLook w:val="04A0" w:firstRow="1" w:lastRow="0" w:firstColumn="1" w:lastColumn="0" w:noHBand="0" w:noVBand="1"/>
      </w:tblPr>
      <w:tblGrid>
        <w:gridCol w:w="3820"/>
        <w:gridCol w:w="1160"/>
      </w:tblGrid>
      <w:tr w:rsidR="007F7467" w:rsidRPr="007F7467" w:rsidTr="007F7467">
        <w:trPr>
          <w:trHeight w:val="360"/>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rPr>
                <w:rFonts w:ascii="Palatino Linotype" w:eastAsia="Times New Roman" w:hAnsi="Palatino Linotype" w:cs="Calibri"/>
                <w:b/>
                <w:bCs/>
                <w:color w:val="000000"/>
              </w:rPr>
            </w:pPr>
            <w:r w:rsidRPr="007F7467">
              <w:rPr>
                <w:rFonts w:ascii="Palatino Linotype" w:eastAsia="Times New Roman" w:hAnsi="Palatino Linotype" w:cs="Calibri"/>
                <w:b/>
                <w:bCs/>
                <w:color w:val="000000"/>
              </w:rPr>
              <w:t>Forfait branchement réseau MT</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b/>
                <w:bCs/>
                <w:color w:val="000000"/>
              </w:rPr>
            </w:pPr>
            <w:r w:rsidRPr="007F7467">
              <w:rPr>
                <w:rFonts w:ascii="Palatino Linotype" w:eastAsia="Times New Roman" w:hAnsi="Palatino Linotype" w:cs="Calibri"/>
                <w:b/>
                <w:bCs/>
                <w:color w:val="000000"/>
              </w:rPr>
              <w:t>9.111,75 €</w:t>
            </w:r>
          </w:p>
        </w:tc>
      </w:tr>
    </w:tbl>
    <w:p w:rsidR="00DC41EE" w:rsidRDefault="00DC41EE" w:rsidP="00DC41EE">
      <w:pPr>
        <w:pStyle w:val="Titre3"/>
        <w:spacing w:after="240"/>
        <w:ind w:left="1224"/>
      </w:pPr>
    </w:p>
    <w:p w:rsidR="00546FB2" w:rsidRDefault="00546FB2" w:rsidP="009F645A">
      <w:pPr>
        <w:pStyle w:val="Titre3"/>
        <w:numPr>
          <w:ilvl w:val="2"/>
          <w:numId w:val="8"/>
        </w:numPr>
        <w:spacing w:after="240"/>
      </w:pPr>
      <w:r>
        <w:t>Comptage</w:t>
      </w:r>
    </w:p>
    <w:p w:rsidR="00546FB2" w:rsidRDefault="00546FB2" w:rsidP="005F439E">
      <w:pPr>
        <w:jc w:val="both"/>
      </w:pPr>
      <w:r>
        <w:t>En ce qui concerne le type de comptage,</w:t>
      </w:r>
    </w:p>
    <w:p w:rsidR="00546FB2" w:rsidRPr="00546FB2" w:rsidRDefault="00546FB2" w:rsidP="009F645A">
      <w:pPr>
        <w:pStyle w:val="Paragraphedeliste"/>
        <w:numPr>
          <w:ilvl w:val="0"/>
          <w:numId w:val="3"/>
        </w:numPr>
        <w:jc w:val="both"/>
        <w:rPr>
          <w:sz w:val="22"/>
        </w:rPr>
      </w:pPr>
      <w:r w:rsidRPr="00546FB2">
        <w:rPr>
          <w:sz w:val="22"/>
        </w:rPr>
        <w:t xml:space="preserve">Pour des puissances &gt;= 100 kVA, on utilise toujours le comptage de type AMR (télérelevé), </w:t>
      </w:r>
    </w:p>
    <w:p w:rsidR="00546FB2" w:rsidRPr="00546FB2" w:rsidRDefault="00546FB2" w:rsidP="009F645A">
      <w:pPr>
        <w:pStyle w:val="Paragraphedeliste"/>
        <w:numPr>
          <w:ilvl w:val="0"/>
          <w:numId w:val="3"/>
        </w:numPr>
        <w:jc w:val="both"/>
        <w:rPr>
          <w:sz w:val="22"/>
        </w:rPr>
      </w:pPr>
      <w:r w:rsidRPr="00546FB2">
        <w:rPr>
          <w:sz w:val="22"/>
        </w:rPr>
        <w:t>Pour des puissances &gt; 250 kVA, on utilise toujours le comptage de type MT sur TC (transformateur de courant) et TT (transformateur de tension),</w:t>
      </w:r>
    </w:p>
    <w:p w:rsidR="00546FB2" w:rsidRDefault="00546FB2" w:rsidP="005F439E">
      <w:pPr>
        <w:jc w:val="both"/>
      </w:pPr>
      <w:r>
        <w:t>Les modules de comptage enregistrent kW + kWhn + kWhs + kVarh.</w:t>
      </w:r>
    </w:p>
    <w:p w:rsidR="00546FB2" w:rsidRDefault="00546FB2" w:rsidP="005F439E">
      <w:pPr>
        <w:jc w:val="both"/>
      </w:pPr>
      <w:r>
        <w:t>L’utilisateur paie une redevance de location pour le compteur qui reste propriété du GRD.</w:t>
      </w:r>
    </w:p>
    <w:p w:rsidR="00546FB2" w:rsidRPr="00831C67" w:rsidRDefault="00546FB2" w:rsidP="005F439E">
      <w:pPr>
        <w:jc w:val="both"/>
        <w:rPr>
          <w:b/>
          <w:u w:val="single"/>
        </w:rPr>
      </w:pPr>
      <w:r w:rsidRPr="00831C67">
        <w:rPr>
          <w:b/>
          <w:u w:val="single"/>
        </w:rPr>
        <w:t>Travaux réalisés par le GRD et compris dans le forfait</w:t>
      </w:r>
    </w:p>
    <w:p w:rsidR="00546FB2" w:rsidRPr="00546FB2" w:rsidRDefault="00546FB2" w:rsidP="009F645A">
      <w:pPr>
        <w:pStyle w:val="Paragraphedeliste"/>
        <w:numPr>
          <w:ilvl w:val="0"/>
          <w:numId w:val="3"/>
        </w:numPr>
        <w:jc w:val="both"/>
        <w:rPr>
          <w:sz w:val="22"/>
        </w:rPr>
      </w:pPr>
      <w:r w:rsidRPr="00546FB2">
        <w:rPr>
          <w:sz w:val="22"/>
        </w:rPr>
        <w:t>La pose de la dalle de comptage en fonction de la puissance,</w:t>
      </w:r>
    </w:p>
    <w:p w:rsidR="00546FB2" w:rsidRPr="00546FB2" w:rsidRDefault="00546FB2" w:rsidP="009F645A">
      <w:pPr>
        <w:pStyle w:val="Paragraphedeliste"/>
        <w:numPr>
          <w:ilvl w:val="0"/>
          <w:numId w:val="3"/>
        </w:numPr>
        <w:jc w:val="both"/>
        <w:rPr>
          <w:sz w:val="22"/>
        </w:rPr>
      </w:pPr>
      <w:r w:rsidRPr="00546FB2">
        <w:rPr>
          <w:sz w:val="22"/>
        </w:rPr>
        <w:t>La fourniture et la pose du coffret</w:t>
      </w:r>
    </w:p>
    <w:p w:rsidR="00546FB2" w:rsidRPr="00546FB2" w:rsidRDefault="00546FB2" w:rsidP="009F645A">
      <w:pPr>
        <w:pStyle w:val="Paragraphedeliste"/>
        <w:numPr>
          <w:ilvl w:val="0"/>
          <w:numId w:val="3"/>
        </w:numPr>
        <w:jc w:val="both"/>
        <w:rPr>
          <w:sz w:val="22"/>
        </w:rPr>
      </w:pPr>
      <w:r w:rsidRPr="00546FB2">
        <w:rPr>
          <w:sz w:val="22"/>
        </w:rPr>
        <w:t>La fourniture et la pose du câblage</w:t>
      </w:r>
    </w:p>
    <w:p w:rsidR="00546FB2" w:rsidRPr="00546FB2" w:rsidRDefault="00546FB2" w:rsidP="009F645A">
      <w:pPr>
        <w:pStyle w:val="Paragraphedeliste"/>
        <w:numPr>
          <w:ilvl w:val="0"/>
          <w:numId w:val="3"/>
        </w:numPr>
        <w:jc w:val="both"/>
        <w:rPr>
          <w:sz w:val="22"/>
        </w:rPr>
      </w:pPr>
      <w:r w:rsidRPr="00546FB2">
        <w:rPr>
          <w:sz w:val="22"/>
        </w:rPr>
        <w:t>L’étalonnage</w:t>
      </w:r>
    </w:p>
    <w:p w:rsidR="00546FB2" w:rsidRDefault="00546FB2" w:rsidP="009F645A">
      <w:pPr>
        <w:pStyle w:val="Paragraphedeliste"/>
        <w:numPr>
          <w:ilvl w:val="0"/>
          <w:numId w:val="3"/>
        </w:numPr>
        <w:jc w:val="both"/>
        <w:rPr>
          <w:sz w:val="22"/>
        </w:rPr>
      </w:pPr>
      <w:r w:rsidRPr="00546FB2">
        <w:rPr>
          <w:sz w:val="22"/>
        </w:rPr>
        <w:t>La mise en service</w:t>
      </w:r>
    </w:p>
    <w:p w:rsidR="00122831" w:rsidRPr="002F5993" w:rsidRDefault="00122831" w:rsidP="00122831">
      <w:pPr>
        <w:jc w:val="both"/>
        <w:rPr>
          <w:b/>
          <w:u w:val="single"/>
        </w:rPr>
      </w:pPr>
      <w:r w:rsidRPr="002F5993">
        <w:rPr>
          <w:b/>
          <w:u w:val="single"/>
        </w:rPr>
        <w:t>Ce forfait ne comprend pas</w:t>
      </w:r>
      <w:r>
        <w:rPr>
          <w:b/>
          <w:u w:val="single"/>
        </w:rPr>
        <w:t xml:space="preserve"> </w:t>
      </w:r>
      <w:r w:rsidRPr="002F5993">
        <w:rPr>
          <w:b/>
          <w:u w:val="single"/>
        </w:rPr>
        <w:t>:</w:t>
      </w:r>
    </w:p>
    <w:p w:rsidR="00122831" w:rsidRPr="00122831" w:rsidRDefault="00122831" w:rsidP="00122831">
      <w:pPr>
        <w:pStyle w:val="Paragraphedeliste"/>
        <w:numPr>
          <w:ilvl w:val="0"/>
          <w:numId w:val="3"/>
        </w:numPr>
        <w:jc w:val="both"/>
        <w:rPr>
          <w:sz w:val="22"/>
        </w:rPr>
      </w:pPr>
      <w:proofErr w:type="gramStart"/>
      <w:r w:rsidRPr="00122831">
        <w:rPr>
          <w:sz w:val="22"/>
        </w:rPr>
        <w:t>la</w:t>
      </w:r>
      <w:proofErr w:type="gramEnd"/>
      <w:r w:rsidRPr="00122831">
        <w:rPr>
          <w:sz w:val="22"/>
        </w:rPr>
        <w:t xml:space="preserve"> redevance de location pour le compteur</w:t>
      </w:r>
    </w:p>
    <w:p w:rsidR="00122831" w:rsidRPr="00122831" w:rsidRDefault="00122831" w:rsidP="00122831">
      <w:pPr>
        <w:pStyle w:val="Paragraphedeliste"/>
        <w:numPr>
          <w:ilvl w:val="0"/>
          <w:numId w:val="3"/>
        </w:numPr>
        <w:jc w:val="both"/>
        <w:rPr>
          <w:sz w:val="22"/>
        </w:rPr>
      </w:pPr>
      <w:proofErr w:type="gramStart"/>
      <w:r w:rsidRPr="00122831">
        <w:rPr>
          <w:sz w:val="22"/>
        </w:rPr>
        <w:t>la</w:t>
      </w:r>
      <w:proofErr w:type="gramEnd"/>
      <w:r>
        <w:rPr>
          <w:sz w:val="22"/>
        </w:rPr>
        <w:t xml:space="preserve"> </w:t>
      </w:r>
      <w:r w:rsidRPr="00122831">
        <w:rPr>
          <w:sz w:val="22"/>
        </w:rPr>
        <w:t>fourniture et le placement des transformateurs de courant et de tension suivant les spécifications Synergrid (C2/112</w:t>
      </w:r>
      <w:r>
        <w:rPr>
          <w:sz w:val="22"/>
        </w:rPr>
        <w:t>)</w:t>
      </w:r>
    </w:p>
    <w:p w:rsidR="00122831" w:rsidRPr="00122831" w:rsidRDefault="00122831" w:rsidP="00122831">
      <w:pPr>
        <w:pStyle w:val="Paragraphedeliste"/>
        <w:numPr>
          <w:ilvl w:val="0"/>
          <w:numId w:val="3"/>
        </w:numPr>
        <w:jc w:val="both"/>
        <w:rPr>
          <w:sz w:val="22"/>
        </w:rPr>
      </w:pPr>
      <w:proofErr w:type="gramStart"/>
      <w:r w:rsidRPr="00122831">
        <w:rPr>
          <w:sz w:val="22"/>
        </w:rPr>
        <w:t>la</w:t>
      </w:r>
      <w:proofErr w:type="gramEnd"/>
      <w:r w:rsidRPr="00122831">
        <w:rPr>
          <w:sz w:val="22"/>
        </w:rPr>
        <w:t xml:space="preserve"> fourniture et la pose du câblage entre les transformateurs de courant/tension et la dalle de comptage.</w:t>
      </w:r>
    </w:p>
    <w:p w:rsidR="00122831" w:rsidRPr="00122831" w:rsidRDefault="00122831" w:rsidP="00122831">
      <w:pPr>
        <w:jc w:val="both"/>
      </w:pPr>
    </w:p>
    <w:p w:rsidR="00546FB2" w:rsidRDefault="00546FB2" w:rsidP="005F439E">
      <w:pPr>
        <w:jc w:val="both"/>
        <w:rPr>
          <w:b/>
          <w:u w:val="single"/>
        </w:rPr>
      </w:pPr>
      <w:r w:rsidRPr="00831C67">
        <w:rPr>
          <w:b/>
          <w:u w:val="single"/>
        </w:rPr>
        <w:t>Travaux réalisés par le GRD et non compris dans le forfait (facturés en Divers)</w:t>
      </w:r>
    </w:p>
    <w:p w:rsidR="00546FB2" w:rsidRDefault="00546FB2" w:rsidP="009F645A">
      <w:pPr>
        <w:pStyle w:val="Paragraphedeliste"/>
        <w:numPr>
          <w:ilvl w:val="0"/>
          <w:numId w:val="3"/>
        </w:numPr>
        <w:jc w:val="both"/>
        <w:rPr>
          <w:sz w:val="22"/>
        </w:rPr>
      </w:pPr>
      <w:r w:rsidRPr="00ED3F5C">
        <w:rPr>
          <w:sz w:val="22"/>
        </w:rPr>
        <w:t>La mise à disposition d’impulsions pour l’utilisateur de réseau</w:t>
      </w:r>
    </w:p>
    <w:p w:rsidR="00546FB2" w:rsidRDefault="00546FB2" w:rsidP="005F439E">
      <w:pPr>
        <w:jc w:val="both"/>
      </w:pPr>
      <w:r>
        <w:t>Remarque : l’utilisateur de réseau devra mettre à disposition un emplacement sec et facile d’accès, aussi proche que possible de la voirie publique pour le placement du compteur (à défaut d’être dans la cabine).</w:t>
      </w:r>
    </w:p>
    <w:tbl>
      <w:tblPr>
        <w:tblW w:w="4980" w:type="dxa"/>
        <w:tblCellMar>
          <w:left w:w="70" w:type="dxa"/>
          <w:right w:w="70" w:type="dxa"/>
        </w:tblCellMar>
        <w:tblLook w:val="04A0" w:firstRow="1" w:lastRow="0" w:firstColumn="1" w:lastColumn="0" w:noHBand="0" w:noVBand="1"/>
      </w:tblPr>
      <w:tblGrid>
        <w:gridCol w:w="3820"/>
        <w:gridCol w:w="1160"/>
      </w:tblGrid>
      <w:tr w:rsidR="007F7467" w:rsidRPr="007F7467" w:rsidTr="007F7467">
        <w:trPr>
          <w:trHeight w:val="360"/>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rPr>
                <w:rFonts w:ascii="Palatino Linotype" w:eastAsia="Times New Roman" w:hAnsi="Palatino Linotype" w:cs="Calibri"/>
                <w:b/>
                <w:bCs/>
                <w:color w:val="000000"/>
              </w:rPr>
            </w:pPr>
            <w:r w:rsidRPr="007F7467">
              <w:rPr>
                <w:rFonts w:ascii="Palatino Linotype" w:eastAsia="Times New Roman" w:hAnsi="Palatino Linotype" w:cs="Calibri"/>
                <w:b/>
                <w:bCs/>
                <w:color w:val="000000"/>
              </w:rPr>
              <w:t>Triphasé – 1 compteurs</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center"/>
              <w:rPr>
                <w:rFonts w:ascii="Palatino Linotype" w:eastAsia="Times New Roman" w:hAnsi="Palatino Linotype" w:cs="Calibri"/>
                <w:b/>
                <w:bCs/>
                <w:color w:val="000000"/>
              </w:rPr>
            </w:pPr>
            <w:r w:rsidRPr="007F7467">
              <w:rPr>
                <w:rFonts w:ascii="Palatino Linotype" w:eastAsia="Times New Roman" w:hAnsi="Palatino Linotype" w:cs="Calibri"/>
                <w:b/>
                <w:bCs/>
                <w:color w:val="000000"/>
              </w:rPr>
              <w:t>2.110,22 €</w:t>
            </w:r>
          </w:p>
        </w:tc>
      </w:tr>
    </w:tbl>
    <w:p w:rsidR="00381AA2" w:rsidRDefault="00381AA2" w:rsidP="00546FB2">
      <w:pPr>
        <w:jc w:val="both"/>
      </w:pPr>
    </w:p>
    <w:p w:rsidR="00546FB2" w:rsidRDefault="00546FB2" w:rsidP="009F645A">
      <w:pPr>
        <w:pStyle w:val="Titre3"/>
        <w:numPr>
          <w:ilvl w:val="2"/>
          <w:numId w:val="8"/>
        </w:numPr>
        <w:spacing w:after="240"/>
      </w:pPr>
      <w:r>
        <w:t>Divers</w:t>
      </w:r>
    </w:p>
    <w:p w:rsidR="00546FB2" w:rsidRDefault="00546FB2" w:rsidP="00546FB2">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546FB2" w:rsidRDefault="00546FB2" w:rsidP="00546FB2">
      <w:pPr>
        <w:jc w:val="both"/>
      </w:pPr>
      <w:r>
        <w:t>Les prix du terme Divers concernent les travaux de câblage, de terrassement, d’accessoires ou de forage hors des composants du forfait.</w:t>
      </w:r>
    </w:p>
    <w:tbl>
      <w:tblPr>
        <w:tblW w:w="4988" w:type="dxa"/>
        <w:tblCellMar>
          <w:left w:w="70" w:type="dxa"/>
          <w:right w:w="70" w:type="dxa"/>
        </w:tblCellMar>
        <w:tblLook w:val="04A0" w:firstRow="1" w:lastRow="0" w:firstColumn="1" w:lastColumn="0" w:noHBand="0" w:noVBand="1"/>
      </w:tblPr>
      <w:tblGrid>
        <w:gridCol w:w="3773"/>
        <w:gridCol w:w="1215"/>
      </w:tblGrid>
      <w:tr w:rsidR="007F7467" w:rsidRPr="007F7467" w:rsidTr="007F7467">
        <w:trPr>
          <w:trHeight w:val="315"/>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Fourniture et pose de câble souterrain</w:t>
            </w:r>
          </w:p>
        </w:tc>
      </w:tr>
      <w:tr w:rsidR="007F7467" w:rsidRPr="007F7467" w:rsidTr="007F7467">
        <w:trPr>
          <w:trHeight w:val="345"/>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Câbles Moyenne Tension</w:t>
            </w:r>
          </w:p>
        </w:tc>
        <w:tc>
          <w:tcPr>
            <w:tcW w:w="1215"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Sur devis</w:t>
            </w:r>
          </w:p>
        </w:tc>
      </w:tr>
      <w:tr w:rsidR="007F7467" w:rsidRPr="007F7467" w:rsidTr="007F7467">
        <w:trPr>
          <w:trHeight w:val="315"/>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7F7467" w:rsidRPr="007F7467" w:rsidRDefault="007F7467" w:rsidP="007F7467">
            <w:pPr>
              <w:spacing w:after="0" w:line="240" w:lineRule="auto"/>
              <w:jc w:val="center"/>
              <w:rPr>
                <w:rFonts w:ascii="Calibri" w:eastAsia="Times New Roman" w:hAnsi="Calibri" w:cs="Calibri"/>
                <w:b/>
                <w:bCs/>
                <w:color w:val="000000"/>
              </w:rPr>
            </w:pPr>
            <w:r w:rsidRPr="007F7467">
              <w:rPr>
                <w:rFonts w:ascii="Calibri" w:eastAsia="Times New Roman" w:hAnsi="Calibri" w:cs="Calibri"/>
                <w:b/>
                <w:bCs/>
                <w:color w:val="000000"/>
              </w:rPr>
              <w:t>Travaux de terrassement</w:t>
            </w:r>
          </w:p>
        </w:tc>
      </w:tr>
      <w:tr w:rsidR="007F7467" w:rsidRPr="007F7467" w:rsidTr="007F7467">
        <w:trPr>
          <w:trHeight w:val="345"/>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Tranchée en pleine terre / m</w:t>
            </w:r>
          </w:p>
        </w:tc>
        <w:tc>
          <w:tcPr>
            <w:tcW w:w="1215"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€ 58,10</w:t>
            </w:r>
          </w:p>
        </w:tc>
      </w:tr>
      <w:tr w:rsidR="007F7467" w:rsidRPr="007F7467" w:rsidTr="007F7467">
        <w:trPr>
          <w:trHeight w:val="345"/>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Fourniture et pose de gaine / m</w:t>
            </w:r>
          </w:p>
        </w:tc>
        <w:tc>
          <w:tcPr>
            <w:tcW w:w="1215"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€ 13,20</w:t>
            </w:r>
          </w:p>
        </w:tc>
      </w:tr>
      <w:tr w:rsidR="007F7467" w:rsidRPr="007F7467" w:rsidTr="007F7467">
        <w:trPr>
          <w:trHeight w:val="345"/>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both"/>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Forage sous élément structurel </w:t>
            </w:r>
          </w:p>
        </w:tc>
        <w:tc>
          <w:tcPr>
            <w:tcW w:w="1215" w:type="dxa"/>
            <w:tcBorders>
              <w:top w:val="nil"/>
              <w:left w:val="nil"/>
              <w:bottom w:val="single" w:sz="8" w:space="0" w:color="auto"/>
              <w:right w:val="single" w:sz="8" w:space="0" w:color="auto"/>
            </w:tcBorders>
            <w:shd w:val="clear" w:color="auto" w:fill="auto"/>
            <w:noWrap/>
            <w:vAlign w:val="center"/>
            <w:hideMark/>
          </w:tcPr>
          <w:p w:rsidR="007F7467" w:rsidRPr="007F7467" w:rsidRDefault="007F7467" w:rsidP="007F7467">
            <w:pPr>
              <w:spacing w:after="0" w:line="240" w:lineRule="auto"/>
              <w:jc w:val="right"/>
              <w:rPr>
                <w:rFonts w:ascii="Palatino Linotype" w:eastAsia="Times New Roman" w:hAnsi="Palatino Linotype" w:cs="Calibri"/>
                <w:color w:val="000000"/>
              </w:rPr>
            </w:pPr>
            <w:r w:rsidRPr="007F7467">
              <w:rPr>
                <w:rFonts w:ascii="Palatino Linotype" w:eastAsia="Times New Roman" w:hAnsi="Palatino Linotype" w:cs="Calibri"/>
                <w:color w:val="000000"/>
              </w:rPr>
              <w:t xml:space="preserve"> Sur devis </w:t>
            </w:r>
          </w:p>
        </w:tc>
      </w:tr>
    </w:tbl>
    <w:p w:rsidR="00546FB2" w:rsidRDefault="00546FB2" w:rsidP="00546FB2">
      <w:pPr>
        <w:pStyle w:val="Titre3"/>
        <w:spacing w:after="240"/>
        <w:ind w:left="1224"/>
      </w:pPr>
    </w:p>
    <w:p w:rsidR="00546FB2" w:rsidRDefault="00546FB2" w:rsidP="009F645A">
      <w:pPr>
        <w:pStyle w:val="Titre3"/>
        <w:numPr>
          <w:ilvl w:val="2"/>
          <w:numId w:val="11"/>
        </w:numPr>
        <w:spacing w:after="240"/>
      </w:pPr>
      <w:r>
        <w:t>Frais d’ouverture de dossier et d’Etude</w:t>
      </w:r>
    </w:p>
    <w:p w:rsidR="00546FB2" w:rsidRDefault="00546FB2" w:rsidP="00546FB2">
      <w:pPr>
        <w:jc w:val="both"/>
      </w:pPr>
      <w:r>
        <w:t xml:space="preserve">Des frais d’ouverture de dossier d’un montant de 250 € sont facturés par demandeur. Si une demande de lotissement est introduite par plusieurs demandeurs, il sera facturé autant de fois 250 € qu’il y a de demandeurs. </w:t>
      </w:r>
    </w:p>
    <w:p w:rsidR="00546FB2" w:rsidRDefault="00546FB2" w:rsidP="00546FB2">
      <w:pPr>
        <w:jc w:val="both"/>
      </w:pPr>
      <w:r>
        <w:t xml:space="preserve">De plus, des frais d’étude détaillée sont à charge du demandeur, ceux-ci </w:t>
      </w:r>
      <w:r w:rsidR="00C37B1C">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A04475" w:rsidRPr="00A04475" w:rsidRDefault="00A04475" w:rsidP="00A04475">
      <w:pPr>
        <w:rPr>
          <w:b/>
        </w:rPr>
      </w:pPr>
    </w:p>
    <w:p w:rsidR="00BE5245" w:rsidRDefault="00BE5245" w:rsidP="009F645A">
      <w:pPr>
        <w:pStyle w:val="Titre2"/>
        <w:pageBreakBefore/>
        <w:numPr>
          <w:ilvl w:val="1"/>
          <w:numId w:val="14"/>
        </w:numPr>
        <w:spacing w:after="240"/>
      </w:pPr>
      <w:bookmarkStart w:id="7" w:name="_Toc524081179"/>
      <w:r>
        <w:t>Raccordement TransMT jusqu’à 25 MVA</w:t>
      </w:r>
      <w:bookmarkEnd w:id="7"/>
    </w:p>
    <w:p w:rsidR="00A04475" w:rsidRDefault="00A04475" w:rsidP="005F439E">
      <w:pPr>
        <w:jc w:val="both"/>
      </w:pPr>
      <w:r>
        <w:t xml:space="preserve">Par raccordement TransMT, on entend un raccordement directement sur un poste GRT/GRD sous une </w:t>
      </w:r>
      <w:r w:rsidR="00AF0BD9">
        <w:t>tension 11</w:t>
      </w:r>
      <w:r>
        <w:t>-15kV.</w:t>
      </w:r>
    </w:p>
    <w:p w:rsidR="00A04475" w:rsidRDefault="00A04475" w:rsidP="005F439E">
      <w:pPr>
        <w:jc w:val="both"/>
      </w:pPr>
      <w:r>
        <w:t>Ce type de raccordement est d’application pour tout utilisateur de réseau demandant une puissance entre 5MVA et 25MVA à condition d'avoir la confirmation de la disponibilité de cette capacité sur le poste par le GRD (gestionnaire du réseau de distribution). Il peut être également imposé par le GRD pour des puissances inférieures si le réseau ne permet pas une solution technique MT (moyenne tension) insérée dans le réseau.</w:t>
      </w:r>
    </w:p>
    <w:p w:rsidR="00A04475" w:rsidRDefault="00A04475" w:rsidP="005F439E">
      <w:pPr>
        <w:jc w:val="both"/>
      </w:pPr>
      <w:r>
        <w:t>Le tarif de raccordement unique est d'application pour tout raccordement de type TransMT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5F439E">
      <w:pPr>
        <w:jc w:val="both"/>
      </w:pPr>
      <w:r>
        <w:t>Les prix unitaires sont exprimés en Euros, hors TVA.</w:t>
      </w:r>
    </w:p>
    <w:p w:rsidR="00A04475" w:rsidRDefault="00A04475" w:rsidP="005F439E">
      <w:pPr>
        <w:jc w:val="both"/>
      </w:pPr>
      <w:r>
        <w:t>Les montants sont des interventions financières à charge du demandeur et n’emportent aucun droit de propriété sur les installations en domaine public qui restent propriété du GRD.</w:t>
      </w:r>
    </w:p>
    <w:p w:rsidR="00A04475" w:rsidRDefault="00A04475" w:rsidP="005F439E">
      <w:pPr>
        <w:jc w:val="both"/>
      </w:pPr>
      <w:r>
        <w:t>Les raccordements supérieurs à 20MVA sont à considérer comme des raccordements hors standard et sont donc à valoriser suivant les prix moyens (&gt; à 25 MVA =&gt; raccordement Elia).</w:t>
      </w:r>
    </w:p>
    <w:p w:rsidR="00A04475" w:rsidRDefault="00A04475" w:rsidP="005F439E">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EF6EA7" w:rsidRDefault="00EF6EA7" w:rsidP="009F645A">
      <w:pPr>
        <w:pStyle w:val="Titre3"/>
        <w:numPr>
          <w:ilvl w:val="2"/>
          <w:numId w:val="9"/>
        </w:numPr>
        <w:spacing w:after="240"/>
      </w:pPr>
      <w:r>
        <w:t>Accès au réseau</w:t>
      </w:r>
    </w:p>
    <w:p w:rsidR="00EF6EA7" w:rsidRDefault="00EF6EA7" w:rsidP="00EF6EA7">
      <w:pPr>
        <w:jc w:val="both"/>
      </w:pPr>
      <w:r>
        <w:t>Ce poste sert à financer la construction du raccordement réalisée en domaine public sur une longueur géographique maximale de 400m suivant le trajet déterminé par le GRD. Les mètres de câble supplémentaires et le forage sous éléments structurels (pont, cours d'eau, chemin de fer, autoroute, …) même dans les 400 premiers mètres ne sont pas compris dans le forfait et sont facturés en Divers. Le raccordement est constitué de 2 ou 3 câbles posés en parallèle dans la même tranchée y compris le câble de signalisation.</w:t>
      </w:r>
    </w:p>
    <w:p w:rsidR="00EF6EA7" w:rsidRDefault="00EF6EA7" w:rsidP="00EF6EA7">
      <w:pPr>
        <w:jc w:val="both"/>
      </w:pPr>
      <w:r>
        <w:t>Le demandeur paie un forfait par KVA utilisé dès le premier KVA à concurrence de la puissance qu’il demande.</w:t>
      </w:r>
    </w:p>
    <w:p w:rsidR="00EF6EA7" w:rsidRDefault="00EF6EA7" w:rsidP="00EF6EA7">
      <w:pPr>
        <w:jc w:val="both"/>
      </w:pPr>
      <w:r>
        <w:t>ATTENTION : Ce tarif est d’application avec un minimum de 5MVA (5000 kVA). La puissance demandée est la puissance de réglage de la protection générale de l’installation de l’utilisateur du réseau. Il s’agit de la puissance maximale prélevée qui est également reprise dans le contrat de raccordement comme la puissance contractuelle.</w:t>
      </w:r>
    </w:p>
    <w:p w:rsidR="00EF6EA7" w:rsidRDefault="00EF6EA7" w:rsidP="00EF6EA7">
      <w:pPr>
        <w:jc w:val="both"/>
      </w:pPr>
      <w:r>
        <w:t>Il ne s’agit donc ni de la puissance installée, ni de la puissance maximale disponible sur le câble de raccordement.</w:t>
      </w:r>
    </w:p>
    <w:tbl>
      <w:tblPr>
        <w:tblW w:w="0" w:type="auto"/>
        <w:tblCellMar>
          <w:left w:w="70" w:type="dxa"/>
          <w:right w:w="70" w:type="dxa"/>
        </w:tblCellMar>
        <w:tblLook w:val="04A0" w:firstRow="1" w:lastRow="0" w:firstColumn="1" w:lastColumn="0" w:noHBand="0" w:noVBand="1"/>
      </w:tblPr>
      <w:tblGrid>
        <w:gridCol w:w="8651"/>
        <w:gridCol w:w="800"/>
      </w:tblGrid>
      <w:tr w:rsidR="006E15A7" w:rsidRPr="006E15A7" w:rsidTr="006E15A7">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15A7" w:rsidRPr="006E15A7" w:rsidRDefault="006E15A7" w:rsidP="006E15A7">
            <w:pPr>
              <w:spacing w:after="0" w:line="240" w:lineRule="auto"/>
              <w:rPr>
                <w:rFonts w:ascii="Palatino Linotype" w:eastAsia="Times New Roman" w:hAnsi="Palatino Linotype" w:cs="Calibri"/>
                <w:b/>
                <w:bCs/>
                <w:color w:val="000000"/>
              </w:rPr>
            </w:pPr>
            <w:r w:rsidRPr="006E15A7">
              <w:rPr>
                <w:rFonts w:ascii="Palatino Linotype" w:eastAsia="Times New Roman" w:hAnsi="Palatino Linotype" w:cs="Calibri"/>
                <w:b/>
                <w:bCs/>
                <w:color w:val="000000"/>
              </w:rPr>
              <w:t>Droit de prélèvement ou d’injection de puissance au réseau de distribution TransMT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E15A7" w:rsidRPr="006E15A7" w:rsidRDefault="006E15A7" w:rsidP="006E15A7">
            <w:pPr>
              <w:spacing w:after="0" w:line="240" w:lineRule="auto"/>
              <w:jc w:val="center"/>
              <w:rPr>
                <w:rFonts w:ascii="Palatino Linotype" w:eastAsia="Times New Roman" w:hAnsi="Palatino Linotype" w:cs="Calibri"/>
                <w:b/>
                <w:bCs/>
                <w:color w:val="000000"/>
              </w:rPr>
            </w:pPr>
            <w:r w:rsidRPr="006E15A7">
              <w:rPr>
                <w:rFonts w:ascii="Palatino Linotype" w:eastAsia="Times New Roman" w:hAnsi="Palatino Linotype" w:cs="Calibri"/>
                <w:b/>
                <w:bCs/>
                <w:color w:val="000000"/>
              </w:rPr>
              <w:t>12,9</w:t>
            </w:r>
            <w:r w:rsidR="007F7467">
              <w:rPr>
                <w:rFonts w:ascii="Palatino Linotype" w:eastAsia="Times New Roman" w:hAnsi="Palatino Linotype" w:cs="Calibri"/>
                <w:b/>
                <w:bCs/>
                <w:color w:val="000000"/>
              </w:rPr>
              <w:t>2</w:t>
            </w:r>
            <w:r w:rsidRPr="006E15A7">
              <w:rPr>
                <w:rFonts w:ascii="Palatino Linotype" w:eastAsia="Times New Roman" w:hAnsi="Palatino Linotype" w:cs="Calibri"/>
                <w:b/>
                <w:bCs/>
                <w:color w:val="000000"/>
              </w:rPr>
              <w:t xml:space="preserve"> €</w:t>
            </w:r>
          </w:p>
        </w:tc>
      </w:tr>
    </w:tbl>
    <w:p w:rsidR="00285194" w:rsidRPr="00EF6EA7" w:rsidRDefault="00285194" w:rsidP="00EF6EA7">
      <w:pPr>
        <w:jc w:val="both"/>
      </w:pPr>
    </w:p>
    <w:p w:rsidR="00EF6EA7" w:rsidRDefault="00EF6EA7" w:rsidP="009F645A">
      <w:pPr>
        <w:pStyle w:val="Titre3"/>
        <w:numPr>
          <w:ilvl w:val="2"/>
          <w:numId w:val="9"/>
        </w:numPr>
        <w:spacing w:after="240"/>
      </w:pPr>
      <w:r>
        <w:t>Branchement</w:t>
      </w:r>
    </w:p>
    <w:p w:rsidR="00EF6EA7" w:rsidRDefault="00EF6EA7" w:rsidP="005E241F">
      <w:pPr>
        <w:jc w:val="both"/>
      </w:pPr>
      <w:r>
        <w:t>L’emplacement et les modalités particulières utiles à la réalisation de la cabine moyenne tension seront examinés et convenus de commun accord entre l’utilisateur de réseau et le GRD. Ils sont conformes au cahier des charges Synergrid C2/112.</w:t>
      </w:r>
    </w:p>
    <w:p w:rsidR="00EF6EA7" w:rsidRPr="00DC41EE" w:rsidRDefault="00DC41EE" w:rsidP="005E241F">
      <w:pPr>
        <w:jc w:val="both"/>
      </w:pPr>
      <w:r>
        <w:t>Ce type de branchement fera l’objet d’un devis.</w:t>
      </w:r>
    </w:p>
    <w:p w:rsidR="00EF6EA7" w:rsidRDefault="00EF6EA7" w:rsidP="009F645A">
      <w:pPr>
        <w:pStyle w:val="Titre3"/>
        <w:numPr>
          <w:ilvl w:val="2"/>
          <w:numId w:val="9"/>
        </w:numPr>
        <w:spacing w:after="240"/>
        <w:jc w:val="both"/>
      </w:pPr>
      <w:r>
        <w:t>Comptage</w:t>
      </w:r>
    </w:p>
    <w:p w:rsidR="00EF6EA7" w:rsidRDefault="00EF6EA7" w:rsidP="005E241F">
      <w:pPr>
        <w:jc w:val="both"/>
      </w:pPr>
      <w:r>
        <w:t>Le type de comptage est un comptage de type MT AMR installé au poste. Les modules de comptage enregistrent kW + kWhn + kWhs + kVarh.</w:t>
      </w:r>
    </w:p>
    <w:p w:rsidR="00EF6EA7" w:rsidRDefault="00EF6EA7" w:rsidP="005E241F">
      <w:pPr>
        <w:jc w:val="both"/>
      </w:pPr>
      <w:r>
        <w:t>Le demandeur paie une redevance de location pour le compteur.</w:t>
      </w:r>
    </w:p>
    <w:p w:rsidR="00EF6EA7" w:rsidRPr="00831C67" w:rsidRDefault="00EF6EA7" w:rsidP="005E241F">
      <w:pPr>
        <w:jc w:val="both"/>
        <w:rPr>
          <w:b/>
          <w:u w:val="single"/>
        </w:rPr>
      </w:pPr>
      <w:r w:rsidRPr="00831C67">
        <w:rPr>
          <w:b/>
          <w:u w:val="single"/>
        </w:rPr>
        <w:t>Travaux réalisés par le GRD et compris dans le forfait</w:t>
      </w:r>
    </w:p>
    <w:p w:rsidR="00EF6EA7" w:rsidRPr="00EF6EA7" w:rsidRDefault="00EF6EA7" w:rsidP="009F645A">
      <w:pPr>
        <w:pStyle w:val="Paragraphedeliste"/>
        <w:numPr>
          <w:ilvl w:val="0"/>
          <w:numId w:val="3"/>
        </w:numPr>
        <w:jc w:val="both"/>
        <w:rPr>
          <w:sz w:val="22"/>
        </w:rPr>
      </w:pPr>
      <w:proofErr w:type="gramStart"/>
      <w:r w:rsidRPr="00EF6EA7">
        <w:rPr>
          <w:sz w:val="22"/>
        </w:rPr>
        <w:t>la</w:t>
      </w:r>
      <w:proofErr w:type="gramEnd"/>
      <w:r w:rsidRPr="00EF6EA7">
        <w:rPr>
          <w:sz w:val="22"/>
        </w:rPr>
        <w:t xml:space="preserve"> pose de la dalle de comptage au poste en fonction de la puissance, le</w:t>
      </w:r>
      <w:r>
        <w:rPr>
          <w:sz w:val="22"/>
        </w:rPr>
        <w:t xml:space="preserve"> </w:t>
      </w:r>
      <w:r w:rsidRPr="00EF6EA7">
        <w:rPr>
          <w:sz w:val="22"/>
        </w:rPr>
        <w:t>câblage et l’étalonnage</w:t>
      </w:r>
    </w:p>
    <w:p w:rsidR="00EF6EA7" w:rsidRPr="00EF6EA7" w:rsidRDefault="00EF6EA7" w:rsidP="009F645A">
      <w:pPr>
        <w:pStyle w:val="Paragraphedeliste"/>
        <w:numPr>
          <w:ilvl w:val="0"/>
          <w:numId w:val="3"/>
        </w:numPr>
        <w:jc w:val="both"/>
        <w:rPr>
          <w:sz w:val="22"/>
        </w:rPr>
      </w:pPr>
      <w:r w:rsidRPr="00EF6EA7">
        <w:rPr>
          <w:sz w:val="22"/>
        </w:rPr>
        <w:t>La fourniture et la pose des transformateurs de courant et de potentiel dans le</w:t>
      </w:r>
      <w:r>
        <w:rPr>
          <w:sz w:val="22"/>
        </w:rPr>
        <w:t xml:space="preserve"> </w:t>
      </w:r>
      <w:r w:rsidRPr="00EF6EA7">
        <w:rPr>
          <w:sz w:val="22"/>
        </w:rPr>
        <w:t>poste</w:t>
      </w:r>
    </w:p>
    <w:p w:rsidR="00EF6EA7" w:rsidRDefault="00EF6EA7" w:rsidP="009F645A">
      <w:pPr>
        <w:pStyle w:val="Paragraphedeliste"/>
        <w:numPr>
          <w:ilvl w:val="0"/>
          <w:numId w:val="3"/>
        </w:numPr>
        <w:jc w:val="both"/>
        <w:rPr>
          <w:sz w:val="22"/>
        </w:rPr>
      </w:pPr>
      <w:proofErr w:type="gramStart"/>
      <w:r w:rsidRPr="00EF6EA7">
        <w:rPr>
          <w:sz w:val="22"/>
        </w:rPr>
        <w:t>la</w:t>
      </w:r>
      <w:proofErr w:type="gramEnd"/>
      <w:r w:rsidRPr="00EF6EA7">
        <w:rPr>
          <w:sz w:val="22"/>
        </w:rPr>
        <w:t xml:space="preserve"> mise en service</w:t>
      </w:r>
    </w:p>
    <w:p w:rsidR="00EF6EA7" w:rsidRPr="00EF6EA7" w:rsidRDefault="00EF6EA7" w:rsidP="005E241F">
      <w:pPr>
        <w:jc w:val="both"/>
        <w:rPr>
          <w:b/>
          <w:u w:val="single"/>
        </w:rPr>
      </w:pPr>
      <w:r w:rsidRPr="00EF6EA7">
        <w:rPr>
          <w:b/>
          <w:u w:val="single"/>
        </w:rPr>
        <w:t>Travaux</w:t>
      </w:r>
      <w:r>
        <w:rPr>
          <w:b/>
          <w:u w:val="single"/>
        </w:rPr>
        <w:t xml:space="preserve"> à réaliser</w:t>
      </w:r>
      <w:r w:rsidRPr="00EF6EA7">
        <w:rPr>
          <w:b/>
          <w:u w:val="single"/>
        </w:rPr>
        <w:t xml:space="preserve"> par le </w:t>
      </w:r>
      <w:r>
        <w:rPr>
          <w:b/>
          <w:u w:val="single"/>
        </w:rPr>
        <w:t>demandeur</w:t>
      </w:r>
    </w:p>
    <w:p w:rsidR="00EF6EA7" w:rsidRPr="00EF6EA7" w:rsidRDefault="00EF6EA7" w:rsidP="009F645A">
      <w:pPr>
        <w:pStyle w:val="Paragraphedeliste"/>
        <w:numPr>
          <w:ilvl w:val="0"/>
          <w:numId w:val="3"/>
        </w:numPr>
        <w:jc w:val="both"/>
      </w:pPr>
      <w:r>
        <w:t>Le placement des transformateurs de courant pour la protection de la cabine de l’utilisateur du réseau.</w:t>
      </w:r>
    </w:p>
    <w:p w:rsidR="00EF6EA7" w:rsidRDefault="00EF6EA7" w:rsidP="005E241F">
      <w:pPr>
        <w:jc w:val="both"/>
        <w:rPr>
          <w:b/>
          <w:u w:val="single"/>
        </w:rPr>
      </w:pPr>
      <w:r w:rsidRPr="00831C67">
        <w:rPr>
          <w:b/>
          <w:u w:val="single"/>
        </w:rPr>
        <w:t>Travaux réalisés par le GRD et non compris dans le forfait (facturés en Divers)</w:t>
      </w:r>
    </w:p>
    <w:p w:rsidR="00EF6EA7" w:rsidRDefault="00EF6EA7" w:rsidP="009F645A">
      <w:pPr>
        <w:pStyle w:val="Paragraphedeliste"/>
        <w:numPr>
          <w:ilvl w:val="0"/>
          <w:numId w:val="3"/>
        </w:numPr>
        <w:jc w:val="both"/>
        <w:rPr>
          <w:sz w:val="22"/>
        </w:rPr>
      </w:pPr>
      <w:r w:rsidRPr="00ED3F5C">
        <w:rPr>
          <w:sz w:val="22"/>
        </w:rPr>
        <w:t>La mise à disposition d’impulsions pour l’utilisateur de réseau</w:t>
      </w:r>
    </w:p>
    <w:p w:rsidR="00EF6EA7" w:rsidRDefault="00EF6EA7" w:rsidP="005E241F">
      <w:pPr>
        <w:jc w:val="both"/>
      </w:pPr>
      <w:r>
        <w:t>Remarque : l’utilisateur de réseau devra mettre à disposition un emplacement sec et facile d’accès, aussi proche que possible de la voirie publique pour le placement du compteur (à défaut d’être dans la cabine).</w:t>
      </w:r>
    </w:p>
    <w:tbl>
      <w:tblPr>
        <w:tblW w:w="5000" w:type="pct"/>
        <w:tblCellMar>
          <w:left w:w="70" w:type="dxa"/>
          <w:right w:w="70" w:type="dxa"/>
        </w:tblCellMar>
        <w:tblLook w:val="04A0" w:firstRow="1" w:lastRow="0" w:firstColumn="1" w:lastColumn="0" w:noHBand="0" w:noVBand="1"/>
      </w:tblPr>
      <w:tblGrid>
        <w:gridCol w:w="8587"/>
        <w:gridCol w:w="1200"/>
      </w:tblGrid>
      <w:tr w:rsidR="006E15A7" w:rsidRPr="006E15A7" w:rsidTr="006E15A7">
        <w:trPr>
          <w:trHeight w:val="360"/>
        </w:trPr>
        <w:tc>
          <w:tcPr>
            <w:tcW w:w="438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E15A7" w:rsidRPr="006E15A7" w:rsidRDefault="006E15A7" w:rsidP="006E15A7">
            <w:pPr>
              <w:spacing w:after="0" w:line="240" w:lineRule="auto"/>
              <w:rPr>
                <w:rFonts w:ascii="Palatino Linotype" w:eastAsia="Times New Roman" w:hAnsi="Palatino Linotype" w:cs="Calibri"/>
                <w:b/>
                <w:bCs/>
                <w:color w:val="000000"/>
              </w:rPr>
            </w:pPr>
            <w:r w:rsidRPr="006E15A7">
              <w:rPr>
                <w:rFonts w:ascii="Palatino Linotype" w:eastAsia="Times New Roman" w:hAnsi="Palatino Linotype" w:cs="Calibri"/>
                <w:b/>
                <w:bCs/>
                <w:color w:val="000000"/>
              </w:rPr>
              <w:t>Triphasé – 1 compteurs</w:t>
            </w:r>
          </w:p>
        </w:tc>
        <w:tc>
          <w:tcPr>
            <w:tcW w:w="613" w:type="pct"/>
            <w:tcBorders>
              <w:top w:val="single" w:sz="8" w:space="0" w:color="auto"/>
              <w:left w:val="nil"/>
              <w:bottom w:val="single" w:sz="8" w:space="0" w:color="auto"/>
              <w:right w:val="single" w:sz="8" w:space="0" w:color="auto"/>
            </w:tcBorders>
            <w:shd w:val="clear" w:color="auto" w:fill="auto"/>
            <w:noWrap/>
            <w:vAlign w:val="center"/>
            <w:hideMark/>
          </w:tcPr>
          <w:p w:rsidR="006E15A7" w:rsidRPr="006E15A7" w:rsidRDefault="006E15A7" w:rsidP="006E15A7">
            <w:pPr>
              <w:spacing w:after="0" w:line="240" w:lineRule="auto"/>
              <w:jc w:val="center"/>
              <w:rPr>
                <w:rFonts w:ascii="Palatino Linotype" w:eastAsia="Times New Roman" w:hAnsi="Palatino Linotype" w:cs="Calibri"/>
                <w:b/>
                <w:bCs/>
                <w:color w:val="000000"/>
              </w:rPr>
            </w:pPr>
            <w:r w:rsidRPr="006E15A7">
              <w:rPr>
                <w:rFonts w:ascii="Palatino Linotype" w:eastAsia="Times New Roman" w:hAnsi="Palatino Linotype" w:cs="Calibri"/>
                <w:b/>
                <w:bCs/>
                <w:color w:val="000000"/>
              </w:rPr>
              <w:t>2.</w:t>
            </w:r>
            <w:r w:rsidR="007F7467">
              <w:rPr>
                <w:rFonts w:ascii="Palatino Linotype" w:eastAsia="Times New Roman" w:hAnsi="Palatino Linotype" w:cs="Calibri"/>
                <w:b/>
                <w:bCs/>
                <w:color w:val="000000"/>
              </w:rPr>
              <w:t>110,22</w:t>
            </w:r>
            <w:r w:rsidRPr="006E15A7">
              <w:rPr>
                <w:rFonts w:ascii="Palatino Linotype" w:eastAsia="Times New Roman" w:hAnsi="Palatino Linotype" w:cs="Calibri"/>
                <w:b/>
                <w:bCs/>
                <w:color w:val="000000"/>
              </w:rPr>
              <w:t xml:space="preserve"> €</w:t>
            </w:r>
          </w:p>
        </w:tc>
      </w:tr>
    </w:tbl>
    <w:p w:rsidR="00DC41EE" w:rsidRDefault="00DC41EE" w:rsidP="00EF6EA7">
      <w:pPr>
        <w:jc w:val="both"/>
      </w:pPr>
    </w:p>
    <w:p w:rsidR="00DC41EE" w:rsidRDefault="00DC41EE" w:rsidP="00EF6EA7">
      <w:pPr>
        <w:jc w:val="both"/>
      </w:pPr>
    </w:p>
    <w:p w:rsidR="00DC41EE" w:rsidRPr="00546FB2" w:rsidRDefault="00DC41EE" w:rsidP="00EF6EA7">
      <w:pPr>
        <w:jc w:val="both"/>
      </w:pPr>
    </w:p>
    <w:p w:rsidR="00EF6EA7" w:rsidRDefault="00EF6EA7" w:rsidP="009F645A">
      <w:pPr>
        <w:pStyle w:val="Titre3"/>
        <w:numPr>
          <w:ilvl w:val="2"/>
          <w:numId w:val="9"/>
        </w:numPr>
        <w:spacing w:after="240"/>
      </w:pPr>
      <w:r>
        <w:t>Divers</w:t>
      </w:r>
    </w:p>
    <w:p w:rsidR="00EF6EA7" w:rsidRDefault="00EF6EA7" w:rsidP="00EF6EA7">
      <w:pPr>
        <w:rPr>
          <w:b/>
        </w:rPr>
      </w:pPr>
      <w:r w:rsidRPr="00EF6EA7">
        <w:rPr>
          <w:b/>
        </w:rPr>
        <w:t xml:space="preserve">Travaux hors forfaits : </w:t>
      </w:r>
    </w:p>
    <w:p w:rsidR="00EF6EA7" w:rsidRDefault="00EF6EA7" w:rsidP="005E241F">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EF6EA7" w:rsidRDefault="00EF6EA7" w:rsidP="005E241F">
      <w:pPr>
        <w:jc w:val="both"/>
      </w:pPr>
      <w:r>
        <w:t>Les prix du terme Divers concernent :</w:t>
      </w:r>
    </w:p>
    <w:p w:rsidR="00EF6EA7" w:rsidRPr="00EF6EA7" w:rsidRDefault="00EF6EA7" w:rsidP="009F645A">
      <w:pPr>
        <w:pStyle w:val="Paragraphedeliste"/>
        <w:numPr>
          <w:ilvl w:val="0"/>
          <w:numId w:val="3"/>
        </w:numPr>
        <w:jc w:val="both"/>
        <w:rPr>
          <w:sz w:val="22"/>
        </w:rPr>
      </w:pPr>
      <w:r w:rsidRPr="00EF6EA7">
        <w:rPr>
          <w:sz w:val="22"/>
        </w:rPr>
        <w:t>Dans le poste de transformation ou la cabine de dispersion : la fourniture et la pose de cellule avec protection, y compris télésignalisation, câblage et mise en service</w:t>
      </w:r>
    </w:p>
    <w:p w:rsidR="00EF6EA7" w:rsidRPr="00EF6EA7" w:rsidRDefault="00EF6EA7" w:rsidP="009F645A">
      <w:pPr>
        <w:pStyle w:val="Paragraphedeliste"/>
        <w:numPr>
          <w:ilvl w:val="0"/>
          <w:numId w:val="3"/>
        </w:numPr>
        <w:jc w:val="both"/>
        <w:rPr>
          <w:sz w:val="22"/>
        </w:rPr>
      </w:pPr>
      <w:r w:rsidRPr="00EF6EA7">
        <w:rPr>
          <w:sz w:val="22"/>
        </w:rPr>
        <w:t>Dans la cabine de l’utilisateur de réseau : la fourniture et la pose des transformateurs de courant et de tension, d’une protection différentielle, du câblage, d’une signalisation</w:t>
      </w:r>
    </w:p>
    <w:p w:rsidR="00EF6EA7" w:rsidRPr="00EF6EA7" w:rsidRDefault="00EF6EA7" w:rsidP="009F645A">
      <w:pPr>
        <w:pStyle w:val="Paragraphedeliste"/>
        <w:numPr>
          <w:ilvl w:val="0"/>
          <w:numId w:val="3"/>
        </w:numPr>
        <w:jc w:val="both"/>
        <w:rPr>
          <w:sz w:val="22"/>
        </w:rPr>
      </w:pPr>
      <w:r w:rsidRPr="00EF6EA7">
        <w:rPr>
          <w:sz w:val="22"/>
        </w:rPr>
        <w:t>Les travaux de fourniture et pose de mètres de câbles supplémentaires à plus de 400 m du poste ou en dehors du forfait prévu en domaine privé, la réalisation de terminales</w:t>
      </w:r>
    </w:p>
    <w:p w:rsidR="00EF6EA7" w:rsidRDefault="00EF6EA7" w:rsidP="009F645A">
      <w:pPr>
        <w:pStyle w:val="Paragraphedeliste"/>
        <w:numPr>
          <w:ilvl w:val="0"/>
          <w:numId w:val="3"/>
        </w:numPr>
        <w:jc w:val="both"/>
        <w:rPr>
          <w:sz w:val="22"/>
        </w:rPr>
      </w:pPr>
      <w:r w:rsidRPr="00EF6EA7">
        <w:rPr>
          <w:sz w:val="22"/>
        </w:rPr>
        <w:t>Les travaux de terrassement ou de forage</w:t>
      </w:r>
    </w:p>
    <w:p w:rsidR="00DC41EE" w:rsidRDefault="00DC41EE" w:rsidP="005E241F">
      <w:pPr>
        <w:jc w:val="both"/>
      </w:pPr>
      <w:r>
        <w:t>Tous ces prix seront calculés suivant devis.</w:t>
      </w:r>
    </w:p>
    <w:p w:rsidR="00EF6EA7" w:rsidRDefault="00EF6EA7" w:rsidP="009F645A">
      <w:pPr>
        <w:pStyle w:val="Titre3"/>
        <w:numPr>
          <w:ilvl w:val="2"/>
          <w:numId w:val="10"/>
        </w:numPr>
        <w:spacing w:after="240"/>
        <w:jc w:val="both"/>
      </w:pPr>
      <w:r>
        <w:t>Frais d’ouverture de dossier et d’Etude</w:t>
      </w:r>
    </w:p>
    <w:p w:rsidR="00EF6EA7" w:rsidRDefault="00EF6EA7" w:rsidP="005E241F">
      <w:pPr>
        <w:jc w:val="both"/>
      </w:pPr>
      <w:r>
        <w:t xml:space="preserve">Des frais d’ouverture de dossier d’un montant de 250 € sont facturés par demandeur. Si une demande de lotissement est introduite par plusieurs demandeurs, il sera facturé autant de fois 250 € qu’il y a de demandeurs. </w:t>
      </w:r>
    </w:p>
    <w:p w:rsidR="00EF6EA7" w:rsidRDefault="00EF6EA7" w:rsidP="005E241F">
      <w:pPr>
        <w:jc w:val="both"/>
      </w:pPr>
      <w:r>
        <w:t xml:space="preserve">De plus, des frais d’étude détaillée sont à charge du demandeur, ceux-ci </w:t>
      </w:r>
      <w:r w:rsidR="00AF0BD9">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A04475" w:rsidRPr="00A04475" w:rsidRDefault="00A04475" w:rsidP="00A04475"/>
    <w:p w:rsidR="00BE5245" w:rsidRDefault="00BE5245" w:rsidP="009F645A">
      <w:pPr>
        <w:pStyle w:val="Titre2"/>
        <w:pageBreakBefore/>
        <w:numPr>
          <w:ilvl w:val="1"/>
          <w:numId w:val="14"/>
        </w:numPr>
        <w:spacing w:after="240"/>
        <w:ind w:left="788" w:hanging="431"/>
      </w:pPr>
      <w:bookmarkStart w:id="8" w:name="_Toc524081180"/>
      <w:r>
        <w:t>Raccordement HT</w:t>
      </w:r>
      <w:bookmarkEnd w:id="8"/>
    </w:p>
    <w:p w:rsidR="00DC41EE" w:rsidRPr="00DC41EE" w:rsidRDefault="00DC41EE" w:rsidP="00DC41EE">
      <w:r>
        <w:t>Ce type de raccordement fera l’objet d’un devis.</w:t>
      </w:r>
    </w:p>
    <w:p w:rsidR="00DC41EE" w:rsidRDefault="00DC41EE" w:rsidP="009F645A">
      <w:pPr>
        <w:pStyle w:val="Titre1"/>
        <w:pageBreakBefore/>
        <w:numPr>
          <w:ilvl w:val="0"/>
          <w:numId w:val="14"/>
        </w:numPr>
        <w:spacing w:after="240"/>
        <w:ind w:left="357" w:hanging="357"/>
      </w:pPr>
      <w:bookmarkStart w:id="9" w:name="_Ref397084408"/>
      <w:bookmarkStart w:id="10" w:name="_Toc524081181"/>
      <w:r>
        <w:t xml:space="preserve">E : </w:t>
      </w:r>
      <w:r w:rsidRPr="00285194">
        <w:t>Frais d’ouverture de dossier et d’Etude</w:t>
      </w:r>
      <w:bookmarkEnd w:id="9"/>
      <w:bookmarkEnd w:id="10"/>
    </w:p>
    <w:p w:rsidR="00794A02" w:rsidRDefault="00794A02" w:rsidP="00794A02">
      <w:r w:rsidRPr="00794A02">
        <w:t>Montants forfaitaires H.T.V.A.</w:t>
      </w:r>
    </w:p>
    <w:tbl>
      <w:tblPr>
        <w:tblW w:w="0" w:type="auto"/>
        <w:jc w:val="center"/>
        <w:tblCellMar>
          <w:left w:w="70" w:type="dxa"/>
          <w:right w:w="70" w:type="dxa"/>
        </w:tblCellMar>
        <w:tblLook w:val="04A0" w:firstRow="1" w:lastRow="0" w:firstColumn="1" w:lastColumn="0" w:noHBand="0" w:noVBand="1"/>
      </w:tblPr>
      <w:tblGrid>
        <w:gridCol w:w="4113"/>
        <w:gridCol w:w="2111"/>
        <w:gridCol w:w="1668"/>
      </w:tblGrid>
      <w:tr w:rsidR="00AA5280" w:rsidRPr="00AA5280" w:rsidTr="00AA5280">
        <w:trPr>
          <w:trHeight w:val="390"/>
          <w:jc w:val="center"/>
        </w:trPr>
        <w:tc>
          <w:tcPr>
            <w:tcW w:w="0" w:type="auto"/>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AA5280" w:rsidRPr="00AA5280" w:rsidRDefault="00AA5280" w:rsidP="00AA5280">
            <w:pPr>
              <w:spacing w:after="0" w:line="240" w:lineRule="auto"/>
              <w:jc w:val="center"/>
              <w:rPr>
                <w:rFonts w:ascii="Calibri" w:eastAsia="Times New Roman" w:hAnsi="Calibri" w:cs="Calibri"/>
                <w:b/>
                <w:bCs/>
                <w:color w:val="FFFFFF"/>
                <w:sz w:val="28"/>
                <w:szCs w:val="28"/>
              </w:rPr>
            </w:pPr>
            <w:r w:rsidRPr="00AA5280">
              <w:rPr>
                <w:rFonts w:ascii="Calibri" w:eastAsia="Times New Roman" w:hAnsi="Calibri" w:cs="Calibri"/>
                <w:b/>
                <w:bCs/>
                <w:color w:val="FFFFFF"/>
                <w:sz w:val="28"/>
                <w:szCs w:val="28"/>
              </w:rPr>
              <w:t>2020</w:t>
            </w:r>
          </w:p>
        </w:tc>
        <w:tc>
          <w:tcPr>
            <w:tcW w:w="0" w:type="auto"/>
            <w:gridSpan w:val="2"/>
            <w:tcBorders>
              <w:top w:val="single" w:sz="8" w:space="0" w:color="auto"/>
              <w:left w:val="nil"/>
              <w:bottom w:val="single" w:sz="8" w:space="0" w:color="auto"/>
              <w:right w:val="single" w:sz="8" w:space="0" w:color="000000"/>
            </w:tcBorders>
            <w:shd w:val="clear" w:color="000000" w:fill="00B0F0"/>
            <w:noWrap/>
            <w:vAlign w:val="center"/>
            <w:hideMark/>
          </w:tcPr>
          <w:p w:rsidR="00AA5280" w:rsidRPr="00AA5280" w:rsidRDefault="00AA5280" w:rsidP="00AA5280">
            <w:pPr>
              <w:spacing w:after="0" w:line="240" w:lineRule="auto"/>
              <w:jc w:val="center"/>
              <w:rPr>
                <w:rFonts w:ascii="Calibri" w:eastAsia="Times New Roman" w:hAnsi="Calibri" w:cs="Calibri"/>
                <w:b/>
                <w:bCs/>
                <w:color w:val="FFFFFF"/>
                <w:sz w:val="28"/>
                <w:szCs w:val="28"/>
              </w:rPr>
            </w:pPr>
            <w:r w:rsidRPr="00AA5280">
              <w:rPr>
                <w:rFonts w:ascii="Calibri" w:eastAsia="Times New Roman" w:hAnsi="Calibri" w:cs="Calibri"/>
                <w:b/>
                <w:bCs/>
                <w:color w:val="FFFFFF"/>
                <w:sz w:val="28"/>
                <w:szCs w:val="28"/>
              </w:rPr>
              <w:t>Etudes</w:t>
            </w:r>
          </w:p>
        </w:tc>
      </w:tr>
      <w:tr w:rsidR="00AA5280" w:rsidRPr="00AA5280" w:rsidTr="00AA5280">
        <w:trPr>
          <w:trHeight w:val="645"/>
          <w:jc w:val="center"/>
        </w:trPr>
        <w:tc>
          <w:tcPr>
            <w:tcW w:w="0" w:type="auto"/>
            <w:tcBorders>
              <w:top w:val="nil"/>
              <w:left w:val="single" w:sz="8" w:space="0" w:color="auto"/>
              <w:bottom w:val="nil"/>
              <w:right w:val="nil"/>
            </w:tcBorders>
            <w:shd w:val="clear" w:color="000000" w:fill="D6DCE4"/>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 </w:t>
            </w:r>
          </w:p>
        </w:tc>
        <w:tc>
          <w:tcPr>
            <w:tcW w:w="0" w:type="auto"/>
            <w:tcBorders>
              <w:top w:val="nil"/>
              <w:left w:val="single" w:sz="8" w:space="0" w:color="auto"/>
              <w:bottom w:val="single" w:sz="8" w:space="0" w:color="auto"/>
              <w:right w:val="single" w:sz="8" w:space="0" w:color="auto"/>
            </w:tcBorders>
            <w:shd w:val="clear" w:color="000000" w:fill="D6DCE4"/>
            <w:noWrap/>
            <w:vAlign w:val="bottom"/>
            <w:hideMark/>
          </w:tcPr>
          <w:p w:rsidR="00AA5280" w:rsidRPr="00AA5280" w:rsidRDefault="00AA5280" w:rsidP="00AA5280">
            <w:pPr>
              <w:spacing w:after="0" w:line="240" w:lineRule="auto"/>
              <w:jc w:val="center"/>
              <w:rPr>
                <w:rFonts w:ascii="Calibri" w:eastAsia="Times New Roman" w:hAnsi="Calibri" w:cs="Calibri"/>
                <w:b/>
                <w:bCs/>
                <w:color w:val="000000"/>
                <w:sz w:val="24"/>
                <w:szCs w:val="24"/>
              </w:rPr>
            </w:pPr>
            <w:r w:rsidRPr="00AA5280">
              <w:rPr>
                <w:rFonts w:ascii="Calibri" w:eastAsia="Times New Roman" w:hAnsi="Calibri" w:cs="Calibri"/>
                <w:b/>
                <w:bCs/>
                <w:color w:val="000000"/>
                <w:sz w:val="24"/>
                <w:szCs w:val="24"/>
              </w:rPr>
              <w:t>Etude d'orientation</w:t>
            </w:r>
          </w:p>
        </w:tc>
        <w:tc>
          <w:tcPr>
            <w:tcW w:w="0" w:type="auto"/>
            <w:tcBorders>
              <w:top w:val="nil"/>
              <w:left w:val="nil"/>
              <w:bottom w:val="nil"/>
              <w:right w:val="single" w:sz="8" w:space="0" w:color="auto"/>
            </w:tcBorders>
            <w:shd w:val="clear" w:color="000000" w:fill="D6DCE4"/>
            <w:vAlign w:val="bottom"/>
            <w:hideMark/>
          </w:tcPr>
          <w:p w:rsidR="00AA5280" w:rsidRPr="00AA5280" w:rsidRDefault="00AA5280" w:rsidP="00AA5280">
            <w:pPr>
              <w:spacing w:after="0" w:line="240" w:lineRule="auto"/>
              <w:jc w:val="center"/>
              <w:rPr>
                <w:rFonts w:ascii="Calibri" w:eastAsia="Times New Roman" w:hAnsi="Calibri" w:cs="Calibri"/>
                <w:b/>
                <w:bCs/>
                <w:color w:val="000000"/>
                <w:sz w:val="24"/>
                <w:szCs w:val="24"/>
              </w:rPr>
            </w:pPr>
            <w:r w:rsidRPr="00AA5280">
              <w:rPr>
                <w:rFonts w:ascii="Calibri" w:eastAsia="Times New Roman" w:hAnsi="Calibri" w:cs="Calibri"/>
                <w:b/>
                <w:bCs/>
                <w:color w:val="000000"/>
                <w:sz w:val="24"/>
                <w:szCs w:val="24"/>
              </w:rPr>
              <w:t>Etude de détail</w:t>
            </w:r>
          </w:p>
        </w:tc>
      </w:tr>
      <w:tr w:rsidR="00AA5280" w:rsidRPr="00AA5280" w:rsidTr="00AA5280">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hideMark/>
          </w:tcPr>
          <w:p w:rsidR="00AA5280" w:rsidRPr="00AA5280" w:rsidRDefault="00AA5280" w:rsidP="00AA5280">
            <w:pPr>
              <w:spacing w:after="0" w:line="240" w:lineRule="auto"/>
              <w:jc w:val="center"/>
              <w:rPr>
                <w:rFonts w:ascii="Calibri" w:eastAsia="Times New Roman" w:hAnsi="Calibri" w:cs="Calibri"/>
                <w:b/>
                <w:bCs/>
                <w:color w:val="000000"/>
                <w:sz w:val="24"/>
                <w:szCs w:val="24"/>
              </w:rPr>
            </w:pPr>
            <w:r w:rsidRPr="00AA5280">
              <w:rPr>
                <w:rFonts w:ascii="Calibri" w:eastAsia="Times New Roman" w:hAnsi="Calibri" w:cs="Calibri"/>
                <w:b/>
                <w:bCs/>
                <w:color w:val="000000"/>
                <w:sz w:val="24"/>
                <w:szCs w:val="24"/>
              </w:rPr>
              <w:t>PRELEVEMENT (nouveau raccordement ou adaptation raccordement existant)</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b/>
                <w:bCs/>
                <w:color w:val="000000"/>
              </w:rPr>
            </w:pPr>
            <w:r w:rsidRPr="00AA5280">
              <w:rPr>
                <w:rFonts w:ascii="Calibri" w:eastAsia="Times New Roman" w:hAnsi="Calibri" w:cs="Calibri"/>
                <w:b/>
                <w:bCs/>
                <w:color w:val="000000"/>
              </w:rPr>
              <w:t>Puissance totale de raccordement</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P &lt; 250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300 €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535 €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300 €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535 €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2.324 €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4.228 €</w:t>
            </w:r>
          </w:p>
        </w:tc>
      </w:tr>
      <w:tr w:rsidR="00AA5280" w:rsidRPr="00AA5280" w:rsidTr="00AA5280">
        <w:trPr>
          <w:trHeight w:val="315"/>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3.486 €</w:t>
            </w:r>
          </w:p>
        </w:tc>
        <w:tc>
          <w:tcPr>
            <w:tcW w:w="0" w:type="auto"/>
            <w:tcBorders>
              <w:top w:val="nil"/>
              <w:left w:val="nil"/>
              <w:bottom w:val="single" w:sz="8" w:space="0" w:color="auto"/>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6.342 €</w:t>
            </w:r>
          </w:p>
        </w:tc>
      </w:tr>
      <w:tr w:rsidR="00AA5280" w:rsidRPr="00AA5280" w:rsidTr="00AA5280">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AA5280" w:rsidRPr="00AA5280" w:rsidRDefault="00AA5280" w:rsidP="00AA5280">
            <w:pPr>
              <w:spacing w:after="0" w:line="240" w:lineRule="auto"/>
              <w:jc w:val="center"/>
              <w:rPr>
                <w:rFonts w:ascii="Calibri" w:eastAsia="Times New Roman" w:hAnsi="Calibri" w:cs="Calibri"/>
                <w:b/>
                <w:bCs/>
                <w:color w:val="000000"/>
                <w:sz w:val="24"/>
                <w:szCs w:val="24"/>
              </w:rPr>
            </w:pPr>
            <w:r w:rsidRPr="00AA5280">
              <w:rPr>
                <w:rFonts w:ascii="Calibri" w:eastAsia="Times New Roman" w:hAnsi="Calibri" w:cs="Calibri"/>
                <w:b/>
                <w:bCs/>
                <w:color w:val="000000"/>
                <w:sz w:val="24"/>
                <w:szCs w:val="24"/>
              </w:rPr>
              <w:t>PRODUCTION AVEC INJECTION</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b/>
                <w:bCs/>
                <w:color w:val="000000"/>
              </w:rPr>
            </w:pPr>
            <w:r w:rsidRPr="00AA5280">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Gratuit</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314 €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598 €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2.324 €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4.228 €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2.959 €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5.498 €</w:t>
            </w:r>
          </w:p>
        </w:tc>
      </w:tr>
      <w:tr w:rsidR="00AA5280" w:rsidRPr="00AA5280" w:rsidTr="00AA5280">
        <w:trPr>
          <w:trHeight w:val="315"/>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4.438 €</w:t>
            </w:r>
          </w:p>
        </w:tc>
        <w:tc>
          <w:tcPr>
            <w:tcW w:w="0" w:type="auto"/>
            <w:tcBorders>
              <w:top w:val="nil"/>
              <w:left w:val="nil"/>
              <w:bottom w:val="nil"/>
              <w:right w:val="single" w:sz="8" w:space="0" w:color="auto"/>
            </w:tcBorders>
            <w:shd w:val="clear" w:color="auto" w:fill="auto"/>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8.247 €</w:t>
            </w:r>
          </w:p>
        </w:tc>
      </w:tr>
      <w:tr w:rsidR="00AA5280" w:rsidRPr="00AA5280" w:rsidTr="00AA5280">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AA5280" w:rsidRPr="00AA5280" w:rsidRDefault="00AA5280" w:rsidP="00AA5280">
            <w:pPr>
              <w:spacing w:after="0" w:line="240" w:lineRule="auto"/>
              <w:jc w:val="center"/>
              <w:rPr>
                <w:rFonts w:ascii="Calibri" w:eastAsia="Times New Roman" w:hAnsi="Calibri" w:cs="Calibri"/>
                <w:b/>
                <w:bCs/>
                <w:color w:val="000000"/>
                <w:sz w:val="24"/>
                <w:szCs w:val="24"/>
              </w:rPr>
            </w:pPr>
            <w:r w:rsidRPr="00AA5280">
              <w:rPr>
                <w:rFonts w:ascii="Calibri" w:eastAsia="Times New Roman" w:hAnsi="Calibri" w:cs="Calibri"/>
                <w:b/>
                <w:bCs/>
                <w:color w:val="000000"/>
                <w:sz w:val="24"/>
                <w:szCs w:val="24"/>
              </w:rPr>
              <w:t>PRODUCTION SANS INJECTION</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b/>
                <w:bCs/>
                <w:color w:val="000000"/>
              </w:rPr>
            </w:pPr>
            <w:r w:rsidRPr="00AA5280">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Gratuit</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314 €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598 €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1.689 €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3.275 €</w:t>
            </w:r>
          </w:p>
        </w:tc>
      </w:tr>
      <w:tr w:rsidR="00AA5280" w:rsidRPr="00AA5280" w:rsidTr="00AA5280">
        <w:trPr>
          <w:trHeight w:val="300"/>
          <w:jc w:val="center"/>
        </w:trPr>
        <w:tc>
          <w:tcPr>
            <w:tcW w:w="0" w:type="auto"/>
            <w:tcBorders>
              <w:top w:val="nil"/>
              <w:left w:val="single" w:sz="8" w:space="0" w:color="auto"/>
              <w:bottom w:val="nil"/>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2.324 €</w:t>
            </w:r>
          </w:p>
        </w:tc>
        <w:tc>
          <w:tcPr>
            <w:tcW w:w="0" w:type="auto"/>
            <w:tcBorders>
              <w:top w:val="nil"/>
              <w:left w:val="nil"/>
              <w:bottom w:val="nil"/>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4.228 €</w:t>
            </w:r>
          </w:p>
        </w:tc>
      </w:tr>
      <w:tr w:rsidR="00AA5280" w:rsidRPr="00AA5280" w:rsidTr="00AA5280">
        <w:trPr>
          <w:trHeight w:val="315"/>
          <w:jc w:val="center"/>
        </w:trPr>
        <w:tc>
          <w:tcPr>
            <w:tcW w:w="0" w:type="auto"/>
            <w:tcBorders>
              <w:top w:val="nil"/>
              <w:left w:val="single" w:sz="8" w:space="0" w:color="auto"/>
              <w:bottom w:val="single" w:sz="8" w:space="0" w:color="auto"/>
              <w:right w:val="nil"/>
            </w:tcBorders>
            <w:shd w:val="clear" w:color="auto" w:fill="auto"/>
            <w:noWrap/>
            <w:vAlign w:val="bottom"/>
            <w:hideMark/>
          </w:tcPr>
          <w:p w:rsidR="00AA5280" w:rsidRPr="00AA5280" w:rsidRDefault="00AA5280" w:rsidP="00AA5280">
            <w:pPr>
              <w:spacing w:after="0" w:line="240" w:lineRule="auto"/>
              <w:rPr>
                <w:rFonts w:ascii="Calibri" w:eastAsia="Times New Roman" w:hAnsi="Calibri" w:cs="Calibri"/>
                <w:color w:val="000000"/>
              </w:rPr>
            </w:pPr>
            <w:r w:rsidRPr="00AA5280">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3.486 €</w:t>
            </w:r>
          </w:p>
        </w:tc>
        <w:tc>
          <w:tcPr>
            <w:tcW w:w="0" w:type="auto"/>
            <w:tcBorders>
              <w:top w:val="nil"/>
              <w:left w:val="nil"/>
              <w:bottom w:val="single" w:sz="8" w:space="0" w:color="auto"/>
              <w:right w:val="single" w:sz="8" w:space="0" w:color="auto"/>
            </w:tcBorders>
            <w:shd w:val="clear" w:color="auto" w:fill="auto"/>
            <w:noWrap/>
            <w:vAlign w:val="bottom"/>
            <w:hideMark/>
          </w:tcPr>
          <w:p w:rsidR="00AA5280" w:rsidRPr="00AA5280" w:rsidRDefault="00AA5280" w:rsidP="00AA5280">
            <w:pPr>
              <w:spacing w:after="0" w:line="240" w:lineRule="auto"/>
              <w:jc w:val="center"/>
              <w:rPr>
                <w:rFonts w:ascii="Calibri" w:eastAsia="Times New Roman" w:hAnsi="Calibri" w:cs="Calibri"/>
                <w:color w:val="000000"/>
              </w:rPr>
            </w:pPr>
            <w:r w:rsidRPr="00AA5280">
              <w:rPr>
                <w:rFonts w:ascii="Calibri" w:eastAsia="Times New Roman" w:hAnsi="Calibri" w:cs="Calibri"/>
                <w:color w:val="000000"/>
              </w:rPr>
              <w:t>6.342 €</w:t>
            </w:r>
          </w:p>
        </w:tc>
      </w:tr>
    </w:tbl>
    <w:p w:rsidR="00402FFF" w:rsidRDefault="00402FFF" w:rsidP="00402FFF"/>
    <w:p w:rsidR="00402FFF" w:rsidRPr="00402FFF" w:rsidRDefault="00402FFF" w:rsidP="005E241F">
      <w:pPr>
        <w:jc w:val="both"/>
        <w:rPr>
          <w:b/>
          <w:u w:val="single"/>
        </w:rPr>
      </w:pPr>
      <w:r w:rsidRPr="00402FFF">
        <w:rPr>
          <w:b/>
          <w:u w:val="single"/>
        </w:rPr>
        <w:t>Remarques</w:t>
      </w:r>
    </w:p>
    <w:p w:rsidR="00402FFF" w:rsidRPr="00402FFF" w:rsidRDefault="00402FFF" w:rsidP="005E241F">
      <w:pPr>
        <w:jc w:val="both"/>
        <w:rPr>
          <w:b/>
          <w:u w:val="single"/>
        </w:rPr>
      </w:pPr>
      <w:r w:rsidRPr="00402FFF">
        <w:rPr>
          <w:b/>
          <w:u w:val="single"/>
        </w:rPr>
        <w:t>Etude d’orientation :</w:t>
      </w:r>
    </w:p>
    <w:p w:rsidR="00402FFF" w:rsidRPr="00402FFF" w:rsidRDefault="00402FFF" w:rsidP="005E241F">
      <w:pPr>
        <w:jc w:val="both"/>
      </w:pPr>
      <w:r w:rsidRPr="00402FFF">
        <w:t>L’étude d’orientation est applicable sur demande :</w:t>
      </w:r>
    </w:p>
    <w:p w:rsidR="00402FFF" w:rsidRPr="00402FFF" w:rsidRDefault="00402FFF" w:rsidP="009F645A">
      <w:pPr>
        <w:pStyle w:val="Paragraphedeliste"/>
        <w:numPr>
          <w:ilvl w:val="1"/>
          <w:numId w:val="25"/>
        </w:numPr>
        <w:jc w:val="both"/>
        <w:rPr>
          <w:sz w:val="22"/>
        </w:rPr>
      </w:pPr>
      <w:proofErr w:type="gramStart"/>
      <w:r w:rsidRPr="00402FFF">
        <w:rPr>
          <w:sz w:val="22"/>
        </w:rPr>
        <w:t>pour</w:t>
      </w:r>
      <w:proofErr w:type="gramEnd"/>
      <w:r w:rsidRPr="00402FFF">
        <w:rPr>
          <w:sz w:val="22"/>
        </w:rPr>
        <w:t xml:space="preserve"> tous projets de nouveaux raccordements (prélèvement et/ou injection),</w:t>
      </w:r>
    </w:p>
    <w:p w:rsidR="00402FFF" w:rsidRPr="00402FFF" w:rsidRDefault="00402FFF" w:rsidP="009F645A">
      <w:pPr>
        <w:pStyle w:val="Paragraphedeliste"/>
        <w:numPr>
          <w:ilvl w:val="1"/>
          <w:numId w:val="25"/>
        </w:numPr>
        <w:jc w:val="both"/>
        <w:rPr>
          <w:sz w:val="22"/>
        </w:rPr>
      </w:pPr>
      <w:proofErr w:type="gramStart"/>
      <w:r w:rsidRPr="00402FFF">
        <w:rPr>
          <w:sz w:val="22"/>
        </w:rPr>
        <w:t>pour</w:t>
      </w:r>
      <w:proofErr w:type="gramEnd"/>
      <w:r w:rsidRPr="00402FFF">
        <w:rPr>
          <w:sz w:val="22"/>
        </w:rPr>
        <w:t xml:space="preserve"> tous projets de modification d’un raccordement existant.</w:t>
      </w:r>
    </w:p>
    <w:p w:rsidR="00402FFF" w:rsidRPr="00402FFF" w:rsidRDefault="00402FFF" w:rsidP="005E241F">
      <w:pPr>
        <w:jc w:val="both"/>
      </w:pPr>
      <w:r w:rsidRPr="00402FFF">
        <w:t>L’étude d’orientation permet d’informer le demandeur selon le cas :</w:t>
      </w:r>
    </w:p>
    <w:p w:rsidR="00402FFF" w:rsidRPr="00402FFF" w:rsidRDefault="00402FFF" w:rsidP="009F645A">
      <w:pPr>
        <w:pStyle w:val="Paragraphedeliste"/>
        <w:numPr>
          <w:ilvl w:val="1"/>
          <w:numId w:val="26"/>
        </w:numPr>
        <w:jc w:val="both"/>
        <w:rPr>
          <w:sz w:val="22"/>
        </w:rPr>
      </w:pPr>
      <w:proofErr w:type="gramStart"/>
      <w:r w:rsidRPr="00402FFF">
        <w:rPr>
          <w:sz w:val="22"/>
        </w:rPr>
        <w:t>de</w:t>
      </w:r>
      <w:proofErr w:type="gramEnd"/>
      <w:r w:rsidRPr="00402FFF">
        <w:rPr>
          <w:sz w:val="22"/>
        </w:rPr>
        <w:t xml:space="preserve"> la faisabilité de la demande,</w:t>
      </w:r>
    </w:p>
    <w:p w:rsidR="00402FFF" w:rsidRPr="00402FFF" w:rsidRDefault="00402FFF" w:rsidP="009F645A">
      <w:pPr>
        <w:pStyle w:val="Paragraphedeliste"/>
        <w:numPr>
          <w:ilvl w:val="1"/>
          <w:numId w:val="26"/>
        </w:numPr>
        <w:jc w:val="both"/>
        <w:rPr>
          <w:sz w:val="22"/>
        </w:rPr>
      </w:pPr>
      <w:proofErr w:type="gramStart"/>
      <w:r w:rsidRPr="00402FFF">
        <w:rPr>
          <w:sz w:val="22"/>
        </w:rPr>
        <w:t>de</w:t>
      </w:r>
      <w:proofErr w:type="gramEnd"/>
      <w:r w:rsidRPr="00402FFF">
        <w:rPr>
          <w:sz w:val="22"/>
        </w:rPr>
        <w:t xml:space="preserve"> l’estimation du coût des travaux,</w:t>
      </w:r>
    </w:p>
    <w:p w:rsidR="00402FFF" w:rsidRPr="00402FFF" w:rsidRDefault="00402FFF" w:rsidP="009F645A">
      <w:pPr>
        <w:pStyle w:val="Paragraphedeliste"/>
        <w:numPr>
          <w:ilvl w:val="1"/>
          <w:numId w:val="26"/>
        </w:numPr>
        <w:jc w:val="both"/>
        <w:rPr>
          <w:sz w:val="22"/>
        </w:rPr>
      </w:pPr>
      <w:proofErr w:type="gramStart"/>
      <w:r w:rsidRPr="00402FFF">
        <w:rPr>
          <w:sz w:val="22"/>
        </w:rPr>
        <w:t>de</w:t>
      </w:r>
      <w:proofErr w:type="gramEnd"/>
      <w:r w:rsidRPr="00402FFF">
        <w:rPr>
          <w:sz w:val="22"/>
        </w:rPr>
        <w:t xml:space="preserve"> l’estimation du délai de réalisation,</w:t>
      </w:r>
    </w:p>
    <w:p w:rsidR="00402FFF" w:rsidRPr="00402FFF" w:rsidRDefault="00402FFF" w:rsidP="009F645A">
      <w:pPr>
        <w:pStyle w:val="Paragraphedeliste"/>
        <w:numPr>
          <w:ilvl w:val="1"/>
          <w:numId w:val="26"/>
        </w:numPr>
        <w:jc w:val="both"/>
        <w:rPr>
          <w:sz w:val="22"/>
        </w:rPr>
      </w:pPr>
      <w:proofErr w:type="gramStart"/>
      <w:r w:rsidRPr="00402FFF">
        <w:rPr>
          <w:sz w:val="22"/>
        </w:rPr>
        <w:t>du</w:t>
      </w:r>
      <w:proofErr w:type="gramEnd"/>
      <w:r w:rsidRPr="00402FFF">
        <w:rPr>
          <w:sz w:val="22"/>
        </w:rPr>
        <w:t xml:space="preserve"> schéma de raccordement,</w:t>
      </w:r>
    </w:p>
    <w:p w:rsidR="00402FFF" w:rsidRPr="00402FFF" w:rsidRDefault="00402FFF" w:rsidP="009F645A">
      <w:pPr>
        <w:pStyle w:val="Paragraphedeliste"/>
        <w:numPr>
          <w:ilvl w:val="1"/>
          <w:numId w:val="26"/>
        </w:numPr>
        <w:jc w:val="both"/>
        <w:rPr>
          <w:sz w:val="22"/>
        </w:rPr>
      </w:pPr>
      <w:proofErr w:type="gramStart"/>
      <w:r w:rsidRPr="00402FFF">
        <w:rPr>
          <w:sz w:val="22"/>
        </w:rPr>
        <w:t>des</w:t>
      </w:r>
      <w:proofErr w:type="gramEnd"/>
      <w:r w:rsidRPr="00402FFF">
        <w:rPr>
          <w:sz w:val="22"/>
        </w:rPr>
        <w:t xml:space="preserve"> prescriptions techniques,</w:t>
      </w:r>
    </w:p>
    <w:p w:rsidR="00402FFF" w:rsidRPr="00402FFF" w:rsidRDefault="00402FFF" w:rsidP="005E241F">
      <w:pPr>
        <w:spacing w:after="0"/>
        <w:jc w:val="both"/>
      </w:pPr>
      <w:proofErr w:type="gramStart"/>
      <w:r w:rsidRPr="00402FFF">
        <w:t>afin</w:t>
      </w:r>
      <w:proofErr w:type="gramEnd"/>
      <w:r w:rsidRPr="00402FFF">
        <w:t xml:space="preserve"> que le demandeur puisse évaluer la rentabilité de son projet.</w:t>
      </w:r>
    </w:p>
    <w:p w:rsidR="00402FFF" w:rsidRPr="00402FFF" w:rsidRDefault="00402FFF" w:rsidP="005E241F">
      <w:pPr>
        <w:spacing w:after="0"/>
        <w:jc w:val="both"/>
      </w:pPr>
      <w:r w:rsidRPr="00402FFF">
        <w:t>L’étude d’orientation est facultative et payante.</w:t>
      </w:r>
    </w:p>
    <w:p w:rsidR="00402FFF" w:rsidRPr="00402FFF" w:rsidRDefault="00402FFF" w:rsidP="005E241F">
      <w:pPr>
        <w:spacing w:after="0"/>
        <w:jc w:val="both"/>
      </w:pPr>
      <w:r w:rsidRPr="00402FFF">
        <w:t>Le coût de l’étude d’orientation est variable selon la puissance finale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d'orientation.</w:t>
      </w:r>
    </w:p>
    <w:p w:rsidR="00402FFF" w:rsidRPr="00402FFF" w:rsidRDefault="00402FFF" w:rsidP="005E241F">
      <w:pPr>
        <w:spacing w:after="0"/>
        <w:jc w:val="both"/>
      </w:pPr>
      <w:r w:rsidRPr="00402FFF">
        <w:t xml:space="preserve">Le résultat de l’étude est communiqué par écrit au demandeur. Il n’engage nullement ni </w:t>
      </w:r>
      <w:r>
        <w:t>AIESH</w:t>
      </w:r>
      <w:r w:rsidRPr="00402FFF">
        <w:t>, ni le demandeur.</w:t>
      </w:r>
    </w:p>
    <w:p w:rsidR="00402FFF" w:rsidRPr="00402FFF" w:rsidRDefault="00402FFF" w:rsidP="005E241F">
      <w:pPr>
        <w:spacing w:after="0"/>
        <w:jc w:val="both"/>
      </w:pPr>
      <w:r w:rsidRPr="00402FFF">
        <w:t>Sur base de cette étude d’orientation, le demandeur pourra, s'il souhaite poursuivre son projet, introduire une demande d'étude de détails. Le coût de l’étude d’orientation pourra être déduit du coût de l’étude détaillée. (Limiter dans le temps - 3 ans et sujet identique/similaire)</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27"/>
        </w:numPr>
        <w:spacing w:after="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1"/>
          <w:numId w:val="27"/>
        </w:numPr>
        <w:spacing w:after="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Default="00402FFF" w:rsidP="005E241F">
      <w:pPr>
        <w:jc w:val="both"/>
      </w:pPr>
    </w:p>
    <w:p w:rsidR="00402FFF" w:rsidRPr="00402FFF" w:rsidRDefault="00402FFF" w:rsidP="005E241F">
      <w:pPr>
        <w:jc w:val="both"/>
        <w:rPr>
          <w:b/>
          <w:u w:val="single"/>
        </w:rPr>
      </w:pPr>
      <w:r w:rsidRPr="00402FFF">
        <w:rPr>
          <w:b/>
          <w:u w:val="single"/>
        </w:rPr>
        <w:t>Etude de détails :</w:t>
      </w:r>
    </w:p>
    <w:p w:rsidR="00402FFF" w:rsidRPr="00402FFF" w:rsidRDefault="00402FFF" w:rsidP="005E241F">
      <w:pPr>
        <w:jc w:val="both"/>
      </w:pPr>
      <w:r w:rsidRPr="00402FFF">
        <w:t>L’étude de détails est obligatoire et payante pour les cas suivants :</w:t>
      </w:r>
    </w:p>
    <w:p w:rsidR="00402FFF" w:rsidRPr="00402FFF" w:rsidRDefault="00402FFF" w:rsidP="009F645A">
      <w:pPr>
        <w:pStyle w:val="Paragraphedeliste"/>
        <w:numPr>
          <w:ilvl w:val="1"/>
          <w:numId w:val="31"/>
        </w:numPr>
        <w:jc w:val="both"/>
        <w:rPr>
          <w:sz w:val="22"/>
        </w:rPr>
      </w:pPr>
      <w:r w:rsidRPr="00402FFF">
        <w:rPr>
          <w:sz w:val="22"/>
        </w:rPr>
        <w:t>Lors d’une demande d’un nouveau raccordement d’un bâtiment, d’un équipement technique ou assimilé</w:t>
      </w:r>
    </w:p>
    <w:p w:rsidR="00402FFF" w:rsidRPr="00402FFF" w:rsidRDefault="00402FFF" w:rsidP="009F645A">
      <w:pPr>
        <w:pStyle w:val="Paragraphedeliste"/>
        <w:numPr>
          <w:ilvl w:val="0"/>
          <w:numId w:val="28"/>
        </w:numPr>
        <w:jc w:val="both"/>
        <w:rPr>
          <w:sz w:val="22"/>
        </w:rPr>
      </w:pPr>
      <w:r w:rsidRPr="00402FFF">
        <w:rPr>
          <w:sz w:val="22"/>
        </w:rPr>
        <w:t xml:space="preserve">Nécessitant une puissance totale contractuelle en prélèvement &gt; 56 kVA </w:t>
      </w:r>
      <w:proofErr w:type="gramStart"/>
      <w:r w:rsidRPr="00402FFF">
        <w:rPr>
          <w:sz w:val="22"/>
        </w:rPr>
        <w:t>ou</w:t>
      </w:r>
      <w:proofErr w:type="gramEnd"/>
    </w:p>
    <w:p w:rsidR="00402FFF" w:rsidRPr="00402FFF" w:rsidRDefault="00402FFF" w:rsidP="009F645A">
      <w:pPr>
        <w:pStyle w:val="Paragraphedeliste"/>
        <w:numPr>
          <w:ilvl w:val="0"/>
          <w:numId w:val="28"/>
        </w:numPr>
        <w:jc w:val="both"/>
        <w:rPr>
          <w:sz w:val="22"/>
        </w:rPr>
      </w:pPr>
      <w:r w:rsidRPr="00402FFF">
        <w:rPr>
          <w:sz w:val="22"/>
        </w:rPr>
        <w:t xml:space="preserve">Situé hors zone d’habitat ou à plus de 100 m d’une habitation en zone d’extension d’habitat, nécessitant éventuellement une extension ou un renforcement du réseau (quelle que soit la puissance demandée) </w:t>
      </w:r>
      <w:proofErr w:type="gramStart"/>
      <w:r w:rsidRPr="00402FFF">
        <w:rPr>
          <w:sz w:val="22"/>
        </w:rPr>
        <w:t>ou</w:t>
      </w:r>
      <w:proofErr w:type="gramEnd"/>
    </w:p>
    <w:p w:rsidR="00402FFF" w:rsidRPr="00402FFF" w:rsidRDefault="00402FFF" w:rsidP="009F645A">
      <w:pPr>
        <w:pStyle w:val="Paragraphedeliste"/>
        <w:numPr>
          <w:ilvl w:val="0"/>
          <w:numId w:val="28"/>
        </w:numPr>
        <w:jc w:val="both"/>
        <w:rPr>
          <w:sz w:val="22"/>
        </w:rPr>
      </w:pPr>
      <w:r w:rsidRPr="00402FFF">
        <w:rPr>
          <w:sz w:val="22"/>
        </w:rPr>
        <w:t>Equipé d’une production décentralisée d’électricité injectant sur le réseau une puissance &gt; 10 kVA.</w:t>
      </w:r>
    </w:p>
    <w:p w:rsidR="00402FFF" w:rsidRPr="00402FFF" w:rsidRDefault="00402FFF" w:rsidP="009F645A">
      <w:pPr>
        <w:pStyle w:val="Paragraphedeliste"/>
        <w:numPr>
          <w:ilvl w:val="0"/>
          <w:numId w:val="32"/>
        </w:numPr>
        <w:jc w:val="both"/>
        <w:rPr>
          <w:sz w:val="22"/>
        </w:rPr>
      </w:pPr>
      <w:r w:rsidRPr="00402FFF">
        <w:rPr>
          <w:sz w:val="22"/>
        </w:rPr>
        <w:t>Lors d’une demande de modification d’un raccordement existant</w:t>
      </w:r>
    </w:p>
    <w:p w:rsidR="00402FFF" w:rsidRPr="00402FFF" w:rsidRDefault="00402FFF" w:rsidP="009F645A">
      <w:pPr>
        <w:pStyle w:val="Paragraphedeliste"/>
        <w:numPr>
          <w:ilvl w:val="0"/>
          <w:numId w:val="29"/>
        </w:numPr>
        <w:jc w:val="both"/>
        <w:rPr>
          <w:sz w:val="22"/>
        </w:rPr>
      </w:pPr>
      <w:r w:rsidRPr="00402FFF">
        <w:rPr>
          <w:sz w:val="22"/>
        </w:rPr>
        <w:t xml:space="preserve">Avec augmentation de la puissance contractuelle en prélèvement dont la puissance finale &gt; 56 kVA </w:t>
      </w:r>
      <w:proofErr w:type="gramStart"/>
      <w:r w:rsidRPr="00402FFF">
        <w:rPr>
          <w:sz w:val="22"/>
        </w:rPr>
        <w:t>ou</w:t>
      </w:r>
      <w:proofErr w:type="gramEnd"/>
    </w:p>
    <w:p w:rsidR="00402FFF" w:rsidRPr="00402FFF" w:rsidRDefault="00402FFF" w:rsidP="009F645A">
      <w:pPr>
        <w:pStyle w:val="Paragraphedeliste"/>
        <w:numPr>
          <w:ilvl w:val="0"/>
          <w:numId w:val="29"/>
        </w:numPr>
        <w:jc w:val="both"/>
        <w:rPr>
          <w:sz w:val="22"/>
        </w:rPr>
      </w:pPr>
      <w:r w:rsidRPr="00402FFF">
        <w:rPr>
          <w:sz w:val="22"/>
        </w:rPr>
        <w:t xml:space="preserve">Avec augmentation de la puissance contractuelle en prélèvement sur un raccordement MT ou TRANS-MT </w:t>
      </w:r>
      <w:proofErr w:type="gramStart"/>
      <w:r w:rsidRPr="00402FFF">
        <w:rPr>
          <w:sz w:val="22"/>
        </w:rPr>
        <w:t>ou</w:t>
      </w:r>
      <w:proofErr w:type="gramEnd"/>
    </w:p>
    <w:p w:rsidR="00402FFF" w:rsidRPr="00402FFF" w:rsidRDefault="00402FFF" w:rsidP="009F645A">
      <w:pPr>
        <w:pStyle w:val="Paragraphedeliste"/>
        <w:numPr>
          <w:ilvl w:val="0"/>
          <w:numId w:val="29"/>
        </w:numPr>
        <w:jc w:val="both"/>
        <w:rPr>
          <w:sz w:val="22"/>
        </w:rPr>
      </w:pPr>
      <w:r w:rsidRPr="00402FFF">
        <w:rPr>
          <w:sz w:val="22"/>
        </w:rPr>
        <w:t xml:space="preserve">Avec augmentation de la puissance contractuelle en injection dont la puissance finale injectée &gt; 10 kVA </w:t>
      </w:r>
      <w:proofErr w:type="gramStart"/>
      <w:r w:rsidRPr="00402FFF">
        <w:rPr>
          <w:sz w:val="22"/>
        </w:rPr>
        <w:t>ou</w:t>
      </w:r>
      <w:proofErr w:type="gramEnd"/>
    </w:p>
    <w:p w:rsidR="00402FFF" w:rsidRPr="00402FFF" w:rsidRDefault="00402FFF" w:rsidP="009F645A">
      <w:pPr>
        <w:pStyle w:val="Paragraphedeliste"/>
        <w:numPr>
          <w:ilvl w:val="0"/>
          <w:numId w:val="29"/>
        </w:numPr>
        <w:jc w:val="both"/>
        <w:rPr>
          <w:sz w:val="22"/>
        </w:rPr>
      </w:pPr>
      <w:r w:rsidRPr="00402FFF">
        <w:rPr>
          <w:sz w:val="22"/>
        </w:rPr>
        <w:t>Situé hors zone d’habitat ou à plus de 100 m d’une habitation en zone d’extension d’habitat, nécessitant éventuellement un renforcement du réseau existant (quelle que soit la puissance demandée).</w:t>
      </w:r>
    </w:p>
    <w:p w:rsidR="00402FFF" w:rsidRPr="00402FFF" w:rsidRDefault="00402FFF" w:rsidP="009F645A">
      <w:pPr>
        <w:pStyle w:val="Paragraphedeliste"/>
        <w:numPr>
          <w:ilvl w:val="1"/>
          <w:numId w:val="33"/>
        </w:numPr>
        <w:jc w:val="both"/>
        <w:rPr>
          <w:sz w:val="22"/>
        </w:rPr>
      </w:pPr>
      <w:r w:rsidRPr="00402FFF">
        <w:rPr>
          <w:sz w:val="22"/>
        </w:rPr>
        <w:t>Lors d’une modification de l’installation du client pouvant affecter le fonctionnement du réseau de distribution :</w:t>
      </w:r>
    </w:p>
    <w:p w:rsidR="00402FFF" w:rsidRPr="00402FFF" w:rsidRDefault="00402FFF" w:rsidP="009F645A">
      <w:pPr>
        <w:pStyle w:val="Paragraphedeliste"/>
        <w:numPr>
          <w:ilvl w:val="0"/>
          <w:numId w:val="30"/>
        </w:numPr>
        <w:jc w:val="both"/>
        <w:rPr>
          <w:sz w:val="22"/>
        </w:rPr>
      </w:pPr>
      <w:r w:rsidRPr="00402FFF">
        <w:rPr>
          <w:sz w:val="22"/>
        </w:rPr>
        <w:t>Exemple 1 : modification des équipements de production entraînant une modification du régime de fonctionnement du câble de raccordement/réseau (passage d’un régime cyclique à permanent) nécessitant un éventuel redimensionnement.</w:t>
      </w:r>
    </w:p>
    <w:p w:rsidR="00402FFF" w:rsidRPr="00402FFF" w:rsidRDefault="00402FFF" w:rsidP="009F645A">
      <w:pPr>
        <w:pStyle w:val="Paragraphedeliste"/>
        <w:numPr>
          <w:ilvl w:val="0"/>
          <w:numId w:val="30"/>
        </w:numPr>
        <w:jc w:val="both"/>
        <w:rPr>
          <w:sz w:val="22"/>
        </w:rPr>
      </w:pPr>
      <w:r w:rsidRPr="00402FFF">
        <w:rPr>
          <w:sz w:val="22"/>
        </w:rPr>
        <w:t>Exemple 2 : installation d’un groupe de secours pouvant prendre la parallèle sur le réseau.</w:t>
      </w:r>
    </w:p>
    <w:p w:rsidR="00402FFF" w:rsidRPr="00402FFF" w:rsidRDefault="00402FFF" w:rsidP="005E241F">
      <w:pPr>
        <w:jc w:val="both"/>
      </w:pPr>
      <w:r>
        <w:t>AIESH</w:t>
      </w:r>
      <w:r w:rsidRPr="00402FFF">
        <w:t xml:space="preserve"> doit juger si la modification est mineure ou si elle nécessite une étude. Si l'étude est nécessaire, elle sera facturée selon les prix de l'étude d'orientation appliqué à l'injection sur un raccordement existant (voir grille).</w:t>
      </w:r>
    </w:p>
    <w:p w:rsidR="00402FFF" w:rsidRPr="00402FFF" w:rsidRDefault="00402FFF" w:rsidP="005E241F">
      <w:pPr>
        <w:jc w:val="both"/>
      </w:pPr>
      <w:r w:rsidRPr="00402FFF">
        <w:t>L’étude de détails n’est pas obligatoire dans le cas d'une production décentralisée fonctionnant en autoconsommation (présence d’un relais anti retour empêchant toute injection).</w:t>
      </w:r>
    </w:p>
    <w:p w:rsidR="00402FFF" w:rsidRPr="00402FFF" w:rsidRDefault="00402FFF" w:rsidP="005E241F">
      <w:pPr>
        <w:jc w:val="both"/>
      </w:pPr>
      <w:r w:rsidRPr="00402FFF">
        <w:t>L’étude de détails permet d’informer le demandeur :</w:t>
      </w:r>
    </w:p>
    <w:p w:rsidR="00402FFF" w:rsidRPr="00402FFF" w:rsidRDefault="00402FFF" w:rsidP="009F645A">
      <w:pPr>
        <w:pStyle w:val="Paragraphedeliste"/>
        <w:numPr>
          <w:ilvl w:val="1"/>
          <w:numId w:val="3"/>
        </w:numPr>
        <w:jc w:val="both"/>
        <w:rPr>
          <w:sz w:val="22"/>
        </w:rPr>
      </w:pPr>
      <w:proofErr w:type="gramStart"/>
      <w:r w:rsidRPr="00402FFF">
        <w:rPr>
          <w:sz w:val="22"/>
        </w:rPr>
        <w:t>du</w:t>
      </w:r>
      <w:proofErr w:type="gramEnd"/>
      <w:r w:rsidRPr="00402FFF">
        <w:rPr>
          <w:sz w:val="22"/>
        </w:rPr>
        <w:t xml:space="preserve"> coût des travaux,</w:t>
      </w:r>
    </w:p>
    <w:p w:rsidR="00402FFF" w:rsidRPr="00402FFF" w:rsidRDefault="00402FFF" w:rsidP="009F645A">
      <w:pPr>
        <w:pStyle w:val="Paragraphedeliste"/>
        <w:numPr>
          <w:ilvl w:val="1"/>
          <w:numId w:val="3"/>
        </w:numPr>
        <w:jc w:val="both"/>
        <w:rPr>
          <w:sz w:val="22"/>
        </w:rPr>
      </w:pPr>
      <w:proofErr w:type="gramStart"/>
      <w:r w:rsidRPr="00402FFF">
        <w:rPr>
          <w:sz w:val="22"/>
        </w:rPr>
        <w:t>du</w:t>
      </w:r>
      <w:proofErr w:type="gramEnd"/>
      <w:r w:rsidRPr="00402FFF">
        <w:rPr>
          <w:sz w:val="22"/>
        </w:rPr>
        <w:t xml:space="preserve"> délai de réalisation,</w:t>
      </w:r>
    </w:p>
    <w:p w:rsidR="00402FFF" w:rsidRPr="00402FFF" w:rsidRDefault="00402FFF" w:rsidP="009F645A">
      <w:pPr>
        <w:pStyle w:val="Paragraphedeliste"/>
        <w:numPr>
          <w:ilvl w:val="1"/>
          <w:numId w:val="3"/>
        </w:numPr>
        <w:jc w:val="both"/>
        <w:rPr>
          <w:sz w:val="22"/>
        </w:rPr>
      </w:pPr>
      <w:proofErr w:type="gramStart"/>
      <w:r w:rsidRPr="00402FFF">
        <w:rPr>
          <w:sz w:val="22"/>
        </w:rPr>
        <w:t>des</w:t>
      </w:r>
      <w:proofErr w:type="gramEnd"/>
      <w:r w:rsidRPr="00402FFF">
        <w:rPr>
          <w:sz w:val="22"/>
        </w:rPr>
        <w:t xml:space="preserve"> conditions de l’offre,</w:t>
      </w:r>
    </w:p>
    <w:p w:rsidR="00402FFF" w:rsidRPr="00402FFF" w:rsidRDefault="00402FFF" w:rsidP="009F645A">
      <w:pPr>
        <w:pStyle w:val="Paragraphedeliste"/>
        <w:numPr>
          <w:ilvl w:val="1"/>
          <w:numId w:val="3"/>
        </w:numPr>
        <w:jc w:val="both"/>
        <w:rPr>
          <w:sz w:val="22"/>
        </w:rPr>
      </w:pPr>
      <w:proofErr w:type="gramStart"/>
      <w:r w:rsidRPr="00402FFF">
        <w:rPr>
          <w:sz w:val="22"/>
        </w:rPr>
        <w:t>des</w:t>
      </w:r>
      <w:proofErr w:type="gramEnd"/>
      <w:r w:rsidRPr="00402FFF">
        <w:rPr>
          <w:sz w:val="22"/>
        </w:rPr>
        <w:t xml:space="preserve"> prescriptions techniques et administratives,</w:t>
      </w:r>
    </w:p>
    <w:p w:rsidR="00402FFF" w:rsidRPr="00402FFF" w:rsidRDefault="00402FFF" w:rsidP="009F645A">
      <w:pPr>
        <w:pStyle w:val="Paragraphedeliste"/>
        <w:numPr>
          <w:ilvl w:val="1"/>
          <w:numId w:val="3"/>
        </w:numPr>
        <w:jc w:val="both"/>
        <w:rPr>
          <w:sz w:val="22"/>
        </w:rPr>
      </w:pPr>
      <w:proofErr w:type="gramStart"/>
      <w:r w:rsidRPr="00402FFF">
        <w:rPr>
          <w:sz w:val="22"/>
        </w:rPr>
        <w:t>des</w:t>
      </w:r>
      <w:proofErr w:type="gramEnd"/>
      <w:r w:rsidRPr="00402FFF">
        <w:rPr>
          <w:sz w:val="22"/>
        </w:rPr>
        <w:t xml:space="preserve"> conditions du contrat de raccordement,</w:t>
      </w:r>
    </w:p>
    <w:p w:rsidR="00402FFF" w:rsidRPr="00402FFF" w:rsidRDefault="00402FFF" w:rsidP="009F645A">
      <w:pPr>
        <w:pStyle w:val="Paragraphedeliste"/>
        <w:numPr>
          <w:ilvl w:val="1"/>
          <w:numId w:val="3"/>
        </w:numPr>
        <w:jc w:val="both"/>
        <w:rPr>
          <w:sz w:val="22"/>
        </w:rPr>
      </w:pPr>
      <w:proofErr w:type="gramStart"/>
      <w:r w:rsidRPr="00402FFF">
        <w:rPr>
          <w:sz w:val="22"/>
        </w:rPr>
        <w:t>du</w:t>
      </w:r>
      <w:proofErr w:type="gramEnd"/>
      <w:r w:rsidRPr="00402FFF">
        <w:rPr>
          <w:sz w:val="22"/>
        </w:rPr>
        <w:t xml:space="preserve"> schéma de raccordement.</w:t>
      </w:r>
    </w:p>
    <w:p w:rsidR="00402FFF" w:rsidRPr="00402FFF" w:rsidRDefault="00402FFF" w:rsidP="005E241F">
      <w:pPr>
        <w:spacing w:after="0"/>
        <w:jc w:val="both"/>
      </w:pPr>
      <w:r w:rsidRPr="00402FFF">
        <w:t>Le coût de l’étude de détails est variable selon la puissance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de détails.</w:t>
      </w:r>
    </w:p>
    <w:p w:rsidR="00402FFF" w:rsidRPr="00402FFF" w:rsidRDefault="00402FFF" w:rsidP="005E241F">
      <w:pPr>
        <w:spacing w:after="0"/>
        <w:jc w:val="both"/>
      </w:pPr>
      <w:r w:rsidRPr="00402FFF">
        <w:t>Les frais d’étude de détails sont toujours dus que les travaux soient réalisés ou non.</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3"/>
        </w:numPr>
        <w:ind w:left="108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0"/>
          <w:numId w:val="34"/>
        </w:numPr>
        <w:ind w:left="1080"/>
        <w:jc w:val="both"/>
        <w:rPr>
          <w:sz w:val="22"/>
        </w:rPr>
      </w:pPr>
      <w:r w:rsidRPr="00402FFF">
        <w:rPr>
          <w:sz w:val="22"/>
        </w:rPr>
        <w:t>Au cas où l’étude de détails reprendrait les mêmes paramètres que l’étude d’orientation, le coût de l’étude d’orientation sera déduit de celui de l’étude de détails.</w:t>
      </w:r>
    </w:p>
    <w:p w:rsidR="00402FFF" w:rsidRPr="00402FFF" w:rsidRDefault="00402FFF" w:rsidP="009F645A">
      <w:pPr>
        <w:pStyle w:val="Paragraphedeliste"/>
        <w:numPr>
          <w:ilvl w:val="0"/>
          <w:numId w:val="34"/>
        </w:numPr>
        <w:ind w:left="108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avec modification des paramètres de la demande initiale et/ou modification de la solution technique, une nouvelle étude sera facturée et un nouveau contrat sera établi.</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sans modification des paramètres de la demande initiale et sans modification de la solution technique, seuls des frais d'adaptation de l'offre et du contrat seront facturés.</w:t>
      </w:r>
    </w:p>
    <w:p w:rsidR="00C70BF9" w:rsidRDefault="00402FFF" w:rsidP="005E241F">
      <w:pPr>
        <w:jc w:val="both"/>
      </w:pPr>
      <w:r>
        <w:t xml:space="preserve">En cas de demande simultanée pour une puissance de prélèvement et une puissance d'injection, le coût des frais d'étude à appliquer correspond aux coûts le plus élevés entre le prélèvement et l'injection.  </w:t>
      </w:r>
    </w:p>
    <w:p w:rsidR="00285194" w:rsidRDefault="00285194" w:rsidP="009F645A">
      <w:pPr>
        <w:pStyle w:val="Titre1"/>
        <w:pageBreakBefore/>
        <w:numPr>
          <w:ilvl w:val="0"/>
          <w:numId w:val="14"/>
        </w:numPr>
        <w:ind w:left="357" w:hanging="357"/>
      </w:pPr>
      <w:bookmarkStart w:id="11" w:name="_Toc524081182"/>
      <w:r>
        <w:t>Prestation</w:t>
      </w:r>
      <w:r w:rsidR="002D4478">
        <w:t>s</w:t>
      </w:r>
      <w:r>
        <w:t xml:space="preserve"> diverse</w:t>
      </w:r>
      <w:r w:rsidR="002D4478">
        <w:t>s</w:t>
      </w:r>
      <w:bookmarkEnd w:id="11"/>
    </w:p>
    <w:p w:rsidR="00285194" w:rsidRPr="00285194" w:rsidRDefault="00285194" w:rsidP="00285194"/>
    <w:tbl>
      <w:tblPr>
        <w:tblW w:w="5000" w:type="pct"/>
        <w:tblCellMar>
          <w:left w:w="70" w:type="dxa"/>
          <w:right w:w="70" w:type="dxa"/>
        </w:tblCellMar>
        <w:tblLook w:val="04A0" w:firstRow="1" w:lastRow="0" w:firstColumn="1" w:lastColumn="0" w:noHBand="0" w:noVBand="1"/>
      </w:tblPr>
      <w:tblGrid>
        <w:gridCol w:w="8852"/>
        <w:gridCol w:w="935"/>
      </w:tblGrid>
      <w:tr w:rsidR="00853E68" w:rsidRPr="00853E68" w:rsidTr="00853E68">
        <w:trPr>
          <w:trHeight w:val="39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853E68" w:rsidRPr="00853E68" w:rsidRDefault="00853E68" w:rsidP="00853E68">
            <w:pPr>
              <w:spacing w:after="0" w:line="240" w:lineRule="auto"/>
              <w:jc w:val="center"/>
              <w:rPr>
                <w:rFonts w:ascii="Calibri" w:eastAsia="Times New Roman" w:hAnsi="Calibri" w:cs="Calibri"/>
                <w:b/>
                <w:bCs/>
                <w:color w:val="FFFFFF"/>
                <w:sz w:val="28"/>
                <w:szCs w:val="28"/>
              </w:rPr>
            </w:pPr>
            <w:bookmarkStart w:id="12" w:name="_GoBack"/>
            <w:r w:rsidRPr="00853E68">
              <w:rPr>
                <w:rFonts w:ascii="Calibri" w:eastAsia="Times New Roman" w:hAnsi="Calibri" w:cs="Calibri"/>
                <w:b/>
                <w:bCs/>
                <w:color w:val="FFFFFF"/>
                <w:sz w:val="28"/>
                <w:szCs w:val="28"/>
              </w:rPr>
              <w:t>Divers BT</w:t>
            </w:r>
          </w:p>
        </w:tc>
      </w:tr>
      <w:tr w:rsidR="00853E68" w:rsidRPr="00853E68" w:rsidTr="00853E68">
        <w:trPr>
          <w:trHeight w:val="464"/>
        </w:trPr>
        <w:tc>
          <w:tcPr>
            <w:tcW w:w="5000" w:type="pct"/>
            <w:gridSpan w:val="2"/>
            <w:vMerge w:val="restart"/>
            <w:tcBorders>
              <w:top w:val="nil"/>
              <w:left w:val="single" w:sz="8" w:space="0" w:color="auto"/>
              <w:bottom w:val="single" w:sz="8" w:space="0" w:color="000000"/>
              <w:right w:val="single" w:sz="8" w:space="0" w:color="000000"/>
            </w:tcBorders>
            <w:shd w:val="clear" w:color="000000" w:fill="DDEBF7"/>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Un point d'accès a droit à 9,2 kVA. Tout dépassement sera facturé au moyen d'un terme "A".</w:t>
            </w:r>
            <w:r w:rsidRPr="00853E68">
              <w:rPr>
                <w:rFonts w:ascii="Calibri" w:eastAsia="Times New Roman" w:hAnsi="Calibri" w:cs="Calibri"/>
                <w:color w:val="000000"/>
              </w:rPr>
              <w:br/>
              <w:t>Pour des applications spéciales, un devis sera établi.</w:t>
            </w:r>
          </w:p>
        </w:tc>
      </w:tr>
      <w:tr w:rsidR="00853E68" w:rsidRPr="00853E68" w:rsidTr="00853E68">
        <w:trPr>
          <w:trHeight w:val="464"/>
        </w:trPr>
        <w:tc>
          <w:tcPr>
            <w:tcW w:w="5000" w:type="pct"/>
            <w:gridSpan w:val="2"/>
            <w:vMerge/>
            <w:tcBorders>
              <w:top w:val="nil"/>
              <w:left w:val="single" w:sz="8" w:space="0" w:color="auto"/>
              <w:bottom w:val="single" w:sz="8" w:space="0" w:color="000000"/>
              <w:right w:val="single" w:sz="8" w:space="0" w:color="000000"/>
            </w:tcBorders>
            <w:vAlign w:val="center"/>
            <w:hideMark/>
          </w:tcPr>
          <w:p w:rsidR="00853E68" w:rsidRPr="00853E68" w:rsidRDefault="00853E68" w:rsidP="00853E68">
            <w:pPr>
              <w:spacing w:after="0" w:line="240" w:lineRule="auto"/>
              <w:rPr>
                <w:rFonts w:ascii="Calibri" w:eastAsia="Times New Roman" w:hAnsi="Calibri" w:cs="Calibri"/>
                <w:color w:val="000000"/>
              </w:rPr>
            </w:pPr>
          </w:p>
        </w:tc>
      </w:tr>
      <w:tr w:rsidR="00853E68" w:rsidRPr="00853E68" w:rsidTr="00853E68">
        <w:trPr>
          <w:trHeight w:val="315"/>
        </w:trPr>
        <w:tc>
          <w:tcPr>
            <w:tcW w:w="4579" w:type="pct"/>
            <w:tcBorders>
              <w:top w:val="nil"/>
              <w:left w:val="single" w:sz="8" w:space="0" w:color="auto"/>
              <w:bottom w:val="single" w:sz="8" w:space="0" w:color="auto"/>
              <w:right w:val="nil"/>
            </w:tcBorders>
            <w:shd w:val="clear" w:color="000000" w:fill="BFBFBF"/>
            <w:noWrap/>
            <w:vAlign w:val="bottom"/>
            <w:hideMark/>
          </w:tcPr>
          <w:p w:rsidR="00853E68" w:rsidRPr="00853E68" w:rsidRDefault="00853E68" w:rsidP="00853E68">
            <w:pPr>
              <w:spacing w:after="0" w:line="240" w:lineRule="auto"/>
              <w:rPr>
                <w:rFonts w:ascii="Calibri" w:eastAsia="Times New Roman" w:hAnsi="Calibri" w:cs="Calibri"/>
                <w:b/>
                <w:bCs/>
                <w:color w:val="000000"/>
              </w:rPr>
            </w:pPr>
            <w:r w:rsidRPr="00853E68">
              <w:rPr>
                <w:rFonts w:ascii="Calibri" w:eastAsia="Times New Roman" w:hAnsi="Calibri" w:cs="Calibri"/>
                <w:b/>
                <w:bCs/>
                <w:color w:val="000000"/>
              </w:rPr>
              <w:t>RACCORDEMENT DEFINITIF ≤ 250 A</w:t>
            </w:r>
          </w:p>
        </w:tc>
        <w:tc>
          <w:tcPr>
            <w:tcW w:w="421" w:type="pct"/>
            <w:tcBorders>
              <w:top w:val="nil"/>
              <w:left w:val="single" w:sz="8" w:space="0" w:color="auto"/>
              <w:bottom w:val="single" w:sz="8" w:space="0" w:color="auto"/>
              <w:right w:val="single" w:sz="8" w:space="0" w:color="auto"/>
            </w:tcBorders>
            <w:shd w:val="clear" w:color="000000" w:fill="BFBFBF"/>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rPr>
            </w:pPr>
            <w:r w:rsidRPr="00853E68">
              <w:rPr>
                <w:rFonts w:ascii="Calibri" w:eastAsia="Times New Roman" w:hAnsi="Calibri" w:cs="Calibri"/>
                <w:b/>
                <w:bCs/>
                <w:color w:val="000000"/>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Renouvellement /Déplacement de branchement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Renouvellement/ Déplacement du branchement (radiation du raccordement existant non comprise)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B</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Connexion/ Déconnexion</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Déconnexion/Connexion du câble de raccordement au réseau électrique souterrain (mise en conformité)</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108,74 €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Déconnexion/Connexion du câble de raccordement au réseau électrique aérien (mise en conformité)</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108,74 €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Renforcement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15"/>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Renforcement de branchement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A + B</w:t>
            </w:r>
          </w:p>
        </w:tc>
      </w:tr>
      <w:tr w:rsidR="00853E68" w:rsidRPr="00853E68" w:rsidTr="00853E68">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853E68" w:rsidRPr="00853E68" w:rsidRDefault="00853E68" w:rsidP="00853E68">
            <w:pPr>
              <w:spacing w:after="0" w:line="240" w:lineRule="auto"/>
              <w:rPr>
                <w:rFonts w:ascii="Calibri" w:eastAsia="Times New Roman" w:hAnsi="Calibri" w:cs="Calibri"/>
                <w:b/>
                <w:bCs/>
                <w:color w:val="000000"/>
              </w:rPr>
            </w:pPr>
            <w:r w:rsidRPr="00853E68">
              <w:rPr>
                <w:rFonts w:ascii="Calibri" w:eastAsia="Times New Roman" w:hAnsi="Calibri" w:cs="Calibri"/>
                <w:b/>
                <w:bCs/>
                <w:color w:val="000000"/>
              </w:rPr>
              <w:t xml:space="preserve">RACCORDEMENTS TEMPORAIRES FORAINS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rPr>
            </w:pPr>
            <w:r w:rsidRPr="00853E68">
              <w:rPr>
                <w:rFonts w:ascii="Calibri" w:eastAsia="Times New Roman" w:hAnsi="Calibri" w:cs="Calibri"/>
                <w:b/>
                <w:bCs/>
                <w:color w:val="000000"/>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vAlign w:val="center"/>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 xml:space="preserve">Monophasé 230 V-40A </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171,78 €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vAlign w:val="bottom"/>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 xml:space="preserve">Tri-Tetra 230/400V- 30A </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201,40 €</w:t>
            </w:r>
          </w:p>
        </w:tc>
      </w:tr>
      <w:tr w:rsidR="00853E68" w:rsidRPr="00853E68" w:rsidTr="00853E68">
        <w:trPr>
          <w:trHeight w:val="315"/>
        </w:trPr>
        <w:tc>
          <w:tcPr>
            <w:tcW w:w="4579" w:type="pct"/>
            <w:tcBorders>
              <w:top w:val="nil"/>
              <w:left w:val="single" w:sz="8" w:space="0" w:color="auto"/>
              <w:bottom w:val="nil"/>
              <w:right w:val="nil"/>
            </w:tcBorders>
            <w:shd w:val="clear" w:color="auto" w:fill="auto"/>
            <w:noWrap/>
            <w:vAlign w:val="bottom"/>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Tri-Tetra 230/400 V – 63A</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266,56 €</w:t>
            </w:r>
          </w:p>
        </w:tc>
      </w:tr>
      <w:tr w:rsidR="00853E68" w:rsidRPr="00853E68" w:rsidTr="00853E68">
        <w:trPr>
          <w:trHeight w:val="315"/>
        </w:trPr>
        <w:tc>
          <w:tcPr>
            <w:tcW w:w="4579" w:type="pct"/>
            <w:tcBorders>
              <w:top w:val="single" w:sz="8" w:space="0" w:color="auto"/>
              <w:left w:val="single" w:sz="8" w:space="0" w:color="auto"/>
              <w:bottom w:val="nil"/>
              <w:right w:val="nil"/>
            </w:tcBorders>
            <w:shd w:val="clear" w:color="000000" w:fill="BFBFBF"/>
            <w:noWrap/>
            <w:hideMark/>
          </w:tcPr>
          <w:p w:rsidR="00853E68" w:rsidRPr="00853E68" w:rsidRDefault="00853E68" w:rsidP="00853E68">
            <w:pPr>
              <w:spacing w:after="0" w:line="240" w:lineRule="auto"/>
              <w:rPr>
                <w:rFonts w:ascii="Calibri" w:eastAsia="Times New Roman" w:hAnsi="Calibri" w:cs="Calibri"/>
                <w:b/>
                <w:bCs/>
                <w:color w:val="000000"/>
              </w:rPr>
            </w:pPr>
            <w:r w:rsidRPr="00853E68">
              <w:rPr>
                <w:rFonts w:ascii="Calibri" w:eastAsia="Times New Roman" w:hAnsi="Calibri" w:cs="Calibri"/>
                <w:b/>
                <w:bCs/>
                <w:color w:val="000000"/>
              </w:rPr>
              <w:t xml:space="preserve">COMPTAGES (installation définitive) jusque 250 A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rPr>
            </w:pPr>
            <w:r w:rsidRPr="00853E68">
              <w:rPr>
                <w:rFonts w:ascii="Calibri" w:eastAsia="Times New Roman" w:hAnsi="Calibri" w:cs="Calibri"/>
                <w:b/>
                <w:bCs/>
                <w:color w:val="000000"/>
              </w:rPr>
              <w:t> </w:t>
            </w:r>
          </w:p>
        </w:tc>
      </w:tr>
      <w:tr w:rsidR="00853E68" w:rsidRPr="00853E68" w:rsidTr="00853E68">
        <w:trPr>
          <w:trHeight w:val="300"/>
        </w:trPr>
        <w:tc>
          <w:tcPr>
            <w:tcW w:w="4579" w:type="pct"/>
            <w:tcBorders>
              <w:top w:val="single" w:sz="8" w:space="0" w:color="auto"/>
              <w:left w:val="single" w:sz="8" w:space="0" w:color="auto"/>
              <w:bottom w:val="nil"/>
              <w:right w:val="nil"/>
            </w:tcBorders>
            <w:shd w:val="clear" w:color="auto" w:fill="auto"/>
            <w:noWrap/>
            <w:vAlign w:val="center"/>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Abattement sur le coût de déplacement suite prestations techniques simultanées sur le même point de fourniture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72,49 €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Remplacement</w:t>
            </w:r>
            <w:r w:rsidRPr="00853E68">
              <w:rPr>
                <w:rFonts w:ascii="Calibri" w:eastAsia="Times New Roman" w:hAnsi="Calibri" w:cs="Calibri"/>
                <w:b/>
                <w:bCs/>
                <w:color w:val="000000"/>
              </w:rPr>
              <w:t xml:space="preserve"> </w:t>
            </w:r>
            <w:r w:rsidRPr="00853E68">
              <w:rPr>
                <w:rFonts w:ascii="Calibri" w:eastAsia="Times New Roman" w:hAnsi="Calibri" w:cs="Calibri"/>
                <w:b/>
                <w:bCs/>
                <w:i/>
                <w:iCs/>
                <w:color w:val="000000"/>
              </w:rPr>
              <w: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Remplacement d'un type de compteur par un autre type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C</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Remplacement d'un compteur à budget par un compteur d'un autre type ou inversément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C</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vAlign w:val="center"/>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 xml:space="preserve">Remplacement d'un compteur par un compteur à budget (pour un client non protégé en défaut de paiement) TVAC </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C</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Remplacement d'un compteur par un compteur à budget (pour un client protégé en défaut de paiement)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Gratuit</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Remplacement des installations suite à des dégâts causés par le client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Sur devis</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Remplacement d'un compteur par un compteur double flux pour un client Prosumer (Dans un coffret 25S60)</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152,36 €</w:t>
            </w:r>
          </w:p>
        </w:tc>
      </w:tr>
      <w:tr w:rsidR="00853E68" w:rsidRPr="00853E68" w:rsidTr="00853E68">
        <w:trPr>
          <w:trHeight w:val="765"/>
        </w:trPr>
        <w:tc>
          <w:tcPr>
            <w:tcW w:w="4579" w:type="pct"/>
            <w:tcBorders>
              <w:top w:val="nil"/>
              <w:left w:val="single" w:sz="8" w:space="0" w:color="auto"/>
              <w:bottom w:val="nil"/>
              <w:right w:val="nil"/>
            </w:tcBorders>
            <w:shd w:val="clear" w:color="auto" w:fill="auto"/>
            <w:vAlign w:val="center"/>
            <w:hideMark/>
          </w:tcPr>
          <w:p w:rsidR="00853E68" w:rsidRPr="00853E68" w:rsidRDefault="00853E68" w:rsidP="00853E68">
            <w:pPr>
              <w:spacing w:after="0" w:line="240" w:lineRule="auto"/>
              <w:rPr>
                <w:rFonts w:ascii="Calibri" w:eastAsia="Times New Roman" w:hAnsi="Calibri" w:cs="Calibri"/>
                <w:i/>
                <w:iCs/>
                <w:sz w:val="20"/>
                <w:szCs w:val="20"/>
              </w:rPr>
            </w:pPr>
            <w:r w:rsidRPr="00853E68">
              <w:rPr>
                <w:rFonts w:ascii="Calibri" w:eastAsia="Times New Roman" w:hAnsi="Calibri" w:cs="Calibri"/>
                <w:i/>
                <w:iCs/>
                <w:sz w:val="20"/>
                <w:szCs w:val="20"/>
              </w:rPr>
              <w:t>(*) Les réparations des dommages occasionnés aux installations de distribution en conséquence d’un sinistre font l’objet d’une facturation des coûts exposés par le gestionnaire de réseau selon des modalités fixées par convention avec les entreprises d’assurances.</w:t>
            </w:r>
          </w:p>
        </w:tc>
        <w:tc>
          <w:tcPr>
            <w:tcW w:w="421" w:type="pct"/>
            <w:tcBorders>
              <w:top w:val="nil"/>
              <w:left w:val="single" w:sz="8" w:space="0" w:color="auto"/>
              <w:bottom w:val="nil"/>
              <w:right w:val="single" w:sz="8" w:space="0" w:color="auto"/>
            </w:tcBorders>
            <w:shd w:val="clear" w:color="auto" w:fill="auto"/>
            <w:vAlign w:val="center"/>
            <w:hideMark/>
          </w:tcPr>
          <w:p w:rsidR="00853E68" w:rsidRPr="00853E68" w:rsidRDefault="00853E68" w:rsidP="00853E68">
            <w:pPr>
              <w:spacing w:after="0" w:line="240" w:lineRule="auto"/>
              <w:jc w:val="center"/>
              <w:rPr>
                <w:rFonts w:ascii="Calibri" w:eastAsia="Times New Roman" w:hAnsi="Calibri" w:cs="Calibri"/>
                <w:i/>
                <w:iCs/>
                <w:sz w:val="20"/>
                <w:szCs w:val="20"/>
              </w:rPr>
            </w:pPr>
            <w:r w:rsidRPr="00853E68">
              <w:rPr>
                <w:rFonts w:ascii="Calibri" w:eastAsia="Times New Roman" w:hAnsi="Calibri" w:cs="Calibri"/>
                <w:i/>
                <w:iCs/>
                <w:sz w:val="20"/>
                <w:szCs w:val="20"/>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Renforcement/ Déforcement de puissance mise à disposition</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600"/>
        </w:trPr>
        <w:tc>
          <w:tcPr>
            <w:tcW w:w="4579" w:type="pct"/>
            <w:tcBorders>
              <w:top w:val="nil"/>
              <w:left w:val="single" w:sz="8" w:space="0" w:color="auto"/>
              <w:bottom w:val="nil"/>
              <w:right w:val="nil"/>
            </w:tcBorders>
            <w:shd w:val="clear" w:color="auto" w:fill="auto"/>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Renforcement de puissance par réglage du calibre du disjoncteur (pour tout niveau de puissance) ou par remplacement du disjoncteur de protection (pour les ≤ 56 kVA)</w:t>
            </w:r>
          </w:p>
        </w:tc>
        <w:tc>
          <w:tcPr>
            <w:tcW w:w="421" w:type="pct"/>
            <w:tcBorders>
              <w:top w:val="nil"/>
              <w:left w:val="single" w:sz="8" w:space="0" w:color="auto"/>
              <w:bottom w:val="nil"/>
              <w:right w:val="single" w:sz="8" w:space="0" w:color="auto"/>
            </w:tcBorders>
            <w:shd w:val="clear" w:color="auto" w:fill="auto"/>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A</w:t>
            </w:r>
          </w:p>
        </w:tc>
      </w:tr>
      <w:tr w:rsidR="00853E68" w:rsidRPr="00853E68" w:rsidTr="00853E68">
        <w:trPr>
          <w:trHeight w:val="600"/>
        </w:trPr>
        <w:tc>
          <w:tcPr>
            <w:tcW w:w="4579" w:type="pct"/>
            <w:tcBorders>
              <w:top w:val="nil"/>
              <w:left w:val="single" w:sz="8" w:space="0" w:color="auto"/>
              <w:bottom w:val="nil"/>
              <w:right w:val="nil"/>
            </w:tcBorders>
            <w:shd w:val="clear" w:color="auto" w:fill="auto"/>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 xml:space="preserve">Diminution de puissance de raccordement par réglage (pour tout niveau de puissance) ou par remplacement du disjoncteur de protection (sans remplacement du </w:t>
            </w:r>
            <w:proofErr w:type="gramStart"/>
            <w:r w:rsidRPr="00853E68">
              <w:rPr>
                <w:rFonts w:ascii="Calibri" w:eastAsia="Times New Roman" w:hAnsi="Calibri" w:cs="Calibri"/>
              </w:rPr>
              <w:t>comptage)(</w:t>
            </w:r>
            <w:proofErr w:type="gramEnd"/>
            <w:r w:rsidRPr="00853E68">
              <w:rPr>
                <w:rFonts w:ascii="Calibri" w:eastAsia="Times New Roman" w:hAnsi="Calibri" w:cs="Calibri"/>
              </w:rPr>
              <w:t>pour les ≤ 56 kVA)</w:t>
            </w:r>
          </w:p>
        </w:tc>
        <w:tc>
          <w:tcPr>
            <w:tcW w:w="421" w:type="pct"/>
            <w:tcBorders>
              <w:top w:val="nil"/>
              <w:left w:val="single" w:sz="8" w:space="0" w:color="auto"/>
              <w:bottom w:val="nil"/>
              <w:right w:val="single" w:sz="8" w:space="0" w:color="auto"/>
            </w:tcBorders>
            <w:shd w:val="clear" w:color="auto" w:fill="auto"/>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72,49 €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Renforcement de puissance par remplacement du disjoncteur et du compteur</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A + C</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Diminution de puissance du raccordement par remplacement du disjoncteur et du compteur</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C</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Déplacement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Déplacement de compteur sans fourniture de matériel</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181,24 €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Déplacement de compteur avec fourniture d'un nouveau groupe de comptage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C</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 xml:space="preserve">Enlèvement </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Enlèvement du compteur et radiation du branchement aérien</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B</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Enlèvement du compteur et radiation du branchement souterrain</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B</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Ajout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Pose compteur Exclusif de nuit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C</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Contrôle et réglage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Réglage ou contrôle protection découplage pour production décentralisée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289,98 €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Contrôle relais protection de découplage et/ou anti-retour client avant mise en service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289,98 €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Contrôle métrologique d'un compteur sur place (≤ 56 kVA)</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289,98 €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Contrôle métrologique d'un compteur BT en laboratoire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598,08 €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Divers</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Activation/Désactivation compteur à budget en mode budget (pour client non protégé)</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101,58 €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Activation/Désactivation compteur à budget en mode budget (pour client protégé)</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u w:val="single"/>
              </w:rPr>
            </w:pPr>
            <w:r w:rsidRPr="00853E68">
              <w:rPr>
                <w:rFonts w:ascii="Calibri" w:eastAsia="Times New Roman" w:hAnsi="Calibri" w:cs="Calibri"/>
                <w:b/>
                <w:bCs/>
                <w:color w:val="000000"/>
                <w:u w:val="single"/>
              </w:rPr>
              <w:t>Gratuit</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Visite ou acte technique sur comptage existant (sans remplacement de celui-ci, voir liste fiche n°...)</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108,74 €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Intervention sur compteur à budget suite à une manipulation du client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289,98 €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Enlèvement du limiteur d'un compteur à budget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101,58 €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Mise à disposition d'impulsions (remplacement éventuel du compteur non compris)</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144,99 €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b/>
                <w:bCs/>
                <w:color w:val="000000"/>
                <w:u w:val="single"/>
              </w:rPr>
            </w:pPr>
            <w:r w:rsidRPr="00853E68">
              <w:rPr>
                <w:rFonts w:ascii="Calibri" w:eastAsia="Times New Roman" w:hAnsi="Calibri" w:cs="Calibri"/>
                <w:b/>
                <w:bCs/>
                <w:color w:val="000000"/>
                <w:u w:val="single"/>
              </w:rPr>
              <w:t>Fournitures</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Fourniture et pose d'une armoire extérieure pour compteur</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1.482,57 €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Fourniture et pose d'un coffret 25S60 avec module placé</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227,66 €</w:t>
            </w:r>
          </w:p>
        </w:tc>
      </w:tr>
      <w:tr w:rsidR="00853E68" w:rsidRPr="00853E68" w:rsidTr="00853E68">
        <w:trPr>
          <w:trHeight w:val="315"/>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Fourniture et pose d'une borne interruptible 3x400V+N/ 125 A</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97,15 €</w:t>
            </w:r>
          </w:p>
        </w:tc>
      </w:tr>
      <w:tr w:rsidR="00853E68" w:rsidRPr="00853E68" w:rsidTr="00853E68">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853E68" w:rsidRPr="00853E68" w:rsidRDefault="00853E68" w:rsidP="00853E68">
            <w:pPr>
              <w:spacing w:after="0" w:line="240" w:lineRule="auto"/>
              <w:rPr>
                <w:rFonts w:ascii="Calibri" w:eastAsia="Times New Roman" w:hAnsi="Calibri" w:cs="Calibri"/>
                <w:b/>
                <w:bCs/>
                <w:color w:val="000000"/>
              </w:rPr>
            </w:pPr>
            <w:r w:rsidRPr="00853E68">
              <w:rPr>
                <w:rFonts w:ascii="Calibri" w:eastAsia="Times New Roman" w:hAnsi="Calibri" w:cs="Calibri"/>
                <w:b/>
                <w:bCs/>
                <w:color w:val="000000"/>
              </w:rPr>
              <w:t>MISE EN SERVICE - OUVERTURE - FERMETURE</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rPr>
            </w:pPr>
            <w:r w:rsidRPr="00853E68">
              <w:rPr>
                <w:rFonts w:ascii="Calibri" w:eastAsia="Times New Roman" w:hAnsi="Calibri" w:cs="Calibri"/>
                <w:b/>
                <w:bCs/>
                <w:color w:val="000000"/>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Ouverture d'un compteur</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72,49 €</w:t>
            </w:r>
          </w:p>
        </w:tc>
      </w:tr>
      <w:tr w:rsidR="00853E68" w:rsidRPr="00853E68" w:rsidTr="00853E68">
        <w:trPr>
          <w:trHeight w:val="315"/>
        </w:trPr>
        <w:tc>
          <w:tcPr>
            <w:tcW w:w="4579" w:type="pct"/>
            <w:tcBorders>
              <w:top w:val="nil"/>
              <w:left w:val="single" w:sz="8" w:space="0" w:color="auto"/>
              <w:bottom w:val="nil"/>
              <w:right w:val="nil"/>
            </w:tcBorders>
            <w:shd w:val="clear" w:color="auto" w:fill="auto"/>
            <w:noWrap/>
            <w:vAlign w:val="bottom"/>
            <w:hideMark/>
          </w:tcPr>
          <w:p w:rsidR="00853E68" w:rsidRPr="00853E68" w:rsidRDefault="00853E68" w:rsidP="00853E68">
            <w:pPr>
              <w:spacing w:after="0" w:line="240" w:lineRule="auto"/>
              <w:rPr>
                <w:rFonts w:ascii="Calibri" w:eastAsia="Times New Roman" w:hAnsi="Calibri" w:cs="Calibri"/>
                <w:color w:val="000000"/>
              </w:rPr>
            </w:pPr>
            <w:r w:rsidRPr="00853E68">
              <w:rPr>
                <w:rFonts w:ascii="Calibri" w:eastAsia="Times New Roman" w:hAnsi="Calibri" w:cs="Calibri"/>
                <w:color w:val="000000"/>
              </w:rPr>
              <w:t>Fermeture d'un compteur</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72,49 €</w:t>
            </w:r>
          </w:p>
        </w:tc>
      </w:tr>
      <w:tr w:rsidR="00853E68" w:rsidRPr="00853E68" w:rsidTr="00853E68">
        <w:trPr>
          <w:trHeight w:val="315"/>
        </w:trPr>
        <w:tc>
          <w:tcPr>
            <w:tcW w:w="4579" w:type="pct"/>
            <w:tcBorders>
              <w:top w:val="single" w:sz="8" w:space="0" w:color="auto"/>
              <w:left w:val="single" w:sz="8" w:space="0" w:color="auto"/>
              <w:bottom w:val="single" w:sz="8" w:space="0" w:color="auto"/>
              <w:right w:val="nil"/>
            </w:tcBorders>
            <w:shd w:val="clear" w:color="000000" w:fill="BFBFBF"/>
            <w:noWrap/>
            <w:hideMark/>
          </w:tcPr>
          <w:p w:rsidR="00853E68" w:rsidRPr="00853E68" w:rsidRDefault="00853E68" w:rsidP="00853E68">
            <w:pPr>
              <w:spacing w:after="0" w:line="240" w:lineRule="auto"/>
              <w:rPr>
                <w:rFonts w:ascii="Calibri" w:eastAsia="Times New Roman" w:hAnsi="Calibri" w:cs="Calibri"/>
                <w:b/>
                <w:bCs/>
                <w:color w:val="000000"/>
              </w:rPr>
            </w:pPr>
            <w:r w:rsidRPr="00853E68">
              <w:rPr>
                <w:rFonts w:ascii="Calibri" w:eastAsia="Times New Roman" w:hAnsi="Calibri" w:cs="Calibri"/>
                <w:b/>
                <w:bCs/>
                <w:color w:val="000000"/>
              </w:rPr>
              <w:t>COUPURE</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rPr>
            </w:pPr>
            <w:r w:rsidRPr="00853E68">
              <w:rPr>
                <w:rFonts w:ascii="Calibri" w:eastAsia="Times New Roman" w:hAnsi="Calibri" w:cs="Calibri"/>
                <w:b/>
                <w:bCs/>
                <w:color w:val="000000"/>
              </w:rPr>
              <w:t>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Coupure au compteur (y compris rétablissement)</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144,99 €</w:t>
            </w:r>
          </w:p>
        </w:tc>
      </w:tr>
      <w:tr w:rsidR="00853E68" w:rsidRPr="00853E68" w:rsidTr="00853E68">
        <w:trPr>
          <w:trHeight w:val="315"/>
        </w:trPr>
        <w:tc>
          <w:tcPr>
            <w:tcW w:w="4579" w:type="pct"/>
            <w:tcBorders>
              <w:top w:val="nil"/>
              <w:left w:val="single" w:sz="8" w:space="0" w:color="auto"/>
              <w:bottom w:val="single" w:sz="8" w:space="0" w:color="auto"/>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 xml:space="preserve">Coupure au branchement sans accès aux installations (terrassement et rétablissement compris) </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rPr>
            </w:pPr>
            <w:r w:rsidRPr="00853E68">
              <w:rPr>
                <w:rFonts w:ascii="Calibri" w:eastAsia="Times New Roman" w:hAnsi="Calibri" w:cs="Calibri"/>
              </w:rPr>
              <w:t>B</w:t>
            </w:r>
          </w:p>
        </w:tc>
      </w:tr>
      <w:tr w:rsidR="00853E68" w:rsidRPr="00853E68" w:rsidTr="00853E68">
        <w:trPr>
          <w:trHeight w:val="315"/>
        </w:trPr>
        <w:tc>
          <w:tcPr>
            <w:tcW w:w="4579" w:type="pct"/>
            <w:tcBorders>
              <w:top w:val="nil"/>
              <w:left w:val="single" w:sz="8" w:space="0" w:color="auto"/>
              <w:bottom w:val="nil"/>
              <w:right w:val="nil"/>
            </w:tcBorders>
            <w:shd w:val="clear" w:color="000000" w:fill="BFBFBF"/>
            <w:noWrap/>
            <w:hideMark/>
          </w:tcPr>
          <w:p w:rsidR="00853E68" w:rsidRPr="00853E68" w:rsidRDefault="00853E68" w:rsidP="00853E68">
            <w:pPr>
              <w:spacing w:after="0" w:line="240" w:lineRule="auto"/>
              <w:rPr>
                <w:rFonts w:ascii="Calibri" w:eastAsia="Times New Roman" w:hAnsi="Calibri" w:cs="Calibri"/>
                <w:b/>
                <w:bCs/>
                <w:color w:val="000000"/>
              </w:rPr>
            </w:pPr>
            <w:r w:rsidRPr="00853E68">
              <w:rPr>
                <w:rFonts w:ascii="Calibri" w:eastAsia="Times New Roman" w:hAnsi="Calibri" w:cs="Calibri"/>
                <w:b/>
                <w:bCs/>
                <w:color w:val="000000"/>
              </w:rPr>
              <w:t xml:space="preserve">PRESTATIONS ADMINISTRATIVES    </w:t>
            </w:r>
          </w:p>
        </w:tc>
        <w:tc>
          <w:tcPr>
            <w:tcW w:w="421"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853E68" w:rsidRPr="00853E68" w:rsidRDefault="00853E68" w:rsidP="00853E68">
            <w:pPr>
              <w:spacing w:after="0" w:line="240" w:lineRule="auto"/>
              <w:jc w:val="center"/>
              <w:rPr>
                <w:rFonts w:ascii="Calibri" w:eastAsia="Times New Roman" w:hAnsi="Calibri" w:cs="Calibri"/>
                <w:b/>
                <w:bCs/>
                <w:color w:val="000000"/>
              </w:rPr>
            </w:pPr>
            <w:r w:rsidRPr="00853E68">
              <w:rPr>
                <w:rFonts w:ascii="Calibri" w:eastAsia="Times New Roman" w:hAnsi="Calibri" w:cs="Calibri"/>
                <w:b/>
                <w:bCs/>
                <w:color w:val="000000"/>
              </w:rPr>
              <w:t> </w:t>
            </w:r>
          </w:p>
        </w:tc>
      </w:tr>
      <w:tr w:rsidR="00853E68" w:rsidRPr="00853E68" w:rsidTr="00853E68">
        <w:trPr>
          <w:trHeight w:val="300"/>
        </w:trPr>
        <w:tc>
          <w:tcPr>
            <w:tcW w:w="4579" w:type="pct"/>
            <w:tcBorders>
              <w:top w:val="single" w:sz="8" w:space="0" w:color="auto"/>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Déplacement sans acte technique</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72,49 €</w:t>
            </w:r>
          </w:p>
        </w:tc>
      </w:tr>
      <w:tr w:rsidR="00853E68" w:rsidRPr="00853E68" w:rsidTr="00853E68">
        <w:trPr>
          <w:trHeight w:val="300"/>
        </w:trPr>
        <w:tc>
          <w:tcPr>
            <w:tcW w:w="4579" w:type="pct"/>
            <w:tcBorders>
              <w:top w:val="nil"/>
              <w:left w:val="single" w:sz="8" w:space="0" w:color="auto"/>
              <w:bottom w:val="nil"/>
              <w:right w:val="nil"/>
            </w:tcBorders>
            <w:shd w:val="clear" w:color="auto" w:fill="auto"/>
            <w:noWrap/>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Bris de scellés</w:t>
            </w:r>
          </w:p>
        </w:tc>
        <w:tc>
          <w:tcPr>
            <w:tcW w:w="421" w:type="pct"/>
            <w:tcBorders>
              <w:top w:val="nil"/>
              <w:left w:val="single" w:sz="8" w:space="0" w:color="auto"/>
              <w:bottom w:val="nil"/>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108,74 €</w:t>
            </w:r>
          </w:p>
        </w:tc>
      </w:tr>
      <w:tr w:rsidR="00853E68" w:rsidRPr="00853E68" w:rsidTr="00853E68">
        <w:trPr>
          <w:trHeight w:val="315"/>
        </w:trPr>
        <w:tc>
          <w:tcPr>
            <w:tcW w:w="4579" w:type="pct"/>
            <w:tcBorders>
              <w:top w:val="nil"/>
              <w:left w:val="single" w:sz="8" w:space="0" w:color="auto"/>
              <w:bottom w:val="single" w:sz="8" w:space="0" w:color="auto"/>
              <w:right w:val="nil"/>
            </w:tcBorders>
            <w:shd w:val="clear" w:color="auto" w:fill="auto"/>
            <w:noWrap/>
            <w:vAlign w:val="center"/>
            <w:hideMark/>
          </w:tcPr>
          <w:p w:rsidR="00853E68" w:rsidRPr="00853E68" w:rsidRDefault="00853E68" w:rsidP="00853E68">
            <w:pPr>
              <w:spacing w:after="0" w:line="240" w:lineRule="auto"/>
              <w:rPr>
                <w:rFonts w:ascii="Calibri" w:eastAsia="Times New Roman" w:hAnsi="Calibri" w:cs="Calibri"/>
              </w:rPr>
            </w:pPr>
            <w:r w:rsidRPr="00853E68">
              <w:rPr>
                <w:rFonts w:ascii="Calibri" w:eastAsia="Times New Roman" w:hAnsi="Calibri" w:cs="Calibri"/>
              </w:rPr>
              <w:t>Modification administrative de l'utilisation du compteur (Metering)</w:t>
            </w:r>
          </w:p>
        </w:tc>
        <w:tc>
          <w:tcPr>
            <w:tcW w:w="421" w:type="pct"/>
            <w:tcBorders>
              <w:top w:val="nil"/>
              <w:left w:val="single" w:sz="8" w:space="0" w:color="auto"/>
              <w:bottom w:val="single" w:sz="8" w:space="0" w:color="auto"/>
              <w:right w:val="single" w:sz="8" w:space="0" w:color="auto"/>
            </w:tcBorders>
            <w:shd w:val="clear" w:color="auto" w:fill="auto"/>
            <w:noWrap/>
            <w:vAlign w:val="center"/>
            <w:hideMark/>
          </w:tcPr>
          <w:p w:rsidR="00853E68" w:rsidRPr="00853E68" w:rsidRDefault="00853E68" w:rsidP="00853E68">
            <w:pPr>
              <w:spacing w:after="0" w:line="240" w:lineRule="auto"/>
              <w:jc w:val="center"/>
              <w:rPr>
                <w:rFonts w:ascii="Calibri" w:eastAsia="Times New Roman" w:hAnsi="Calibri" w:cs="Calibri"/>
                <w:color w:val="000000"/>
              </w:rPr>
            </w:pPr>
            <w:r w:rsidRPr="00853E68">
              <w:rPr>
                <w:rFonts w:ascii="Calibri" w:eastAsia="Times New Roman" w:hAnsi="Calibri" w:cs="Calibri"/>
                <w:color w:val="000000"/>
              </w:rPr>
              <w:t>108,74 €</w:t>
            </w:r>
          </w:p>
        </w:tc>
      </w:tr>
      <w:bookmarkEnd w:id="12"/>
    </w:tbl>
    <w:p w:rsidR="00536987" w:rsidRDefault="00536987"/>
    <w:p w:rsidR="00B2167B" w:rsidRDefault="00B2167B"/>
    <w:p w:rsidR="00B2167B" w:rsidRDefault="00B2167B"/>
    <w:p w:rsidR="00B2167B" w:rsidRDefault="00B2167B"/>
    <w:p w:rsidR="00B2167B" w:rsidRDefault="00B2167B"/>
    <w:p w:rsidR="00B2167B" w:rsidRDefault="00B2167B"/>
    <w:p w:rsidR="00B2167B" w:rsidRDefault="00B2167B"/>
    <w:p w:rsidR="00B2167B" w:rsidRDefault="00B2167B"/>
    <w:tbl>
      <w:tblPr>
        <w:tblW w:w="0" w:type="auto"/>
        <w:tblCellMar>
          <w:left w:w="70" w:type="dxa"/>
          <w:right w:w="70" w:type="dxa"/>
        </w:tblCellMar>
        <w:tblLook w:val="04A0" w:firstRow="1" w:lastRow="0" w:firstColumn="1" w:lastColumn="0" w:noHBand="0" w:noVBand="1"/>
      </w:tblPr>
      <w:tblGrid>
        <w:gridCol w:w="8772"/>
        <w:gridCol w:w="1015"/>
      </w:tblGrid>
      <w:tr w:rsidR="005B20DF" w:rsidRPr="005B20DF" w:rsidTr="005B20DF">
        <w:trPr>
          <w:trHeight w:val="390"/>
        </w:trPr>
        <w:tc>
          <w:tcPr>
            <w:tcW w:w="0" w:type="auto"/>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5B20DF" w:rsidRPr="005B20DF" w:rsidRDefault="005B20DF" w:rsidP="005B20DF">
            <w:pPr>
              <w:spacing w:after="0" w:line="240" w:lineRule="auto"/>
              <w:jc w:val="center"/>
              <w:rPr>
                <w:rFonts w:ascii="Calibri" w:eastAsia="Times New Roman" w:hAnsi="Calibri" w:cs="Calibri"/>
                <w:b/>
                <w:bCs/>
                <w:color w:val="FFFFFF"/>
                <w:sz w:val="28"/>
                <w:szCs w:val="28"/>
              </w:rPr>
            </w:pPr>
            <w:r w:rsidRPr="005B20DF">
              <w:rPr>
                <w:rFonts w:ascii="Calibri" w:eastAsia="Times New Roman" w:hAnsi="Calibri" w:cs="Calibri"/>
                <w:b/>
                <w:bCs/>
                <w:color w:val="FFFFFF"/>
                <w:sz w:val="28"/>
                <w:szCs w:val="28"/>
              </w:rPr>
              <w:t>Divers MT</w:t>
            </w:r>
          </w:p>
        </w:tc>
      </w:tr>
      <w:tr w:rsidR="005B20DF" w:rsidRPr="005B20DF" w:rsidTr="005B20DF">
        <w:trPr>
          <w:trHeight w:val="541"/>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6DCE4"/>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b/>
                <w:bCs/>
                <w:color w:val="000000"/>
                <w:u w:val="single"/>
              </w:rPr>
              <w:t xml:space="preserve">Remarque </w:t>
            </w:r>
            <w:r w:rsidRPr="005B20DF">
              <w:rPr>
                <w:rFonts w:ascii="Calibri" w:eastAsia="Times New Roman" w:hAnsi="Calibri" w:cs="Calibri"/>
                <w:b/>
                <w:bCs/>
                <w:color w:val="000000"/>
              </w:rPr>
              <w:t>:</w:t>
            </w:r>
            <w:r w:rsidRPr="005B20DF">
              <w:rPr>
                <w:rFonts w:ascii="Calibri" w:eastAsia="Times New Roman" w:hAnsi="Calibri" w:cs="Calibri"/>
                <w:color w:val="000000"/>
              </w:rPr>
              <w:t xml:space="preserve"> les lettres se trouvant dans la colonne prix unitaire font référence aux différents postes (A, B, C, D) des annexes 1, 2 ou "divers MT et Trans-MT".</w:t>
            </w:r>
            <w:r w:rsidRPr="005B20DF">
              <w:rPr>
                <w:rFonts w:ascii="Calibri" w:eastAsia="Times New Roman" w:hAnsi="Calibri" w:cs="Calibri"/>
                <w:color w:val="000000"/>
              </w:rPr>
              <w:br/>
              <w:t>Pour des applications spéciales, un devis sera établi.</w:t>
            </w:r>
          </w:p>
        </w:tc>
      </w:tr>
      <w:tr w:rsidR="005B20DF" w:rsidRPr="005B20DF" w:rsidTr="005B20DF">
        <w:trPr>
          <w:trHeight w:val="541"/>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5B20DF" w:rsidRPr="005B20DF" w:rsidRDefault="005B20DF" w:rsidP="005B20DF">
            <w:pPr>
              <w:spacing w:after="0" w:line="240" w:lineRule="auto"/>
              <w:rPr>
                <w:rFonts w:ascii="Calibri" w:eastAsia="Times New Roman" w:hAnsi="Calibri" w:cs="Calibri"/>
                <w:color w:val="000000"/>
              </w:rPr>
            </w:pPr>
          </w:p>
        </w:tc>
      </w:tr>
      <w:tr w:rsidR="005B20DF" w:rsidRPr="005B20DF" w:rsidTr="005B20DF">
        <w:trPr>
          <w:trHeight w:val="315"/>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5B20DF" w:rsidRPr="005B20DF" w:rsidRDefault="005B20DF" w:rsidP="005B20DF">
            <w:pPr>
              <w:spacing w:after="0" w:line="240" w:lineRule="auto"/>
              <w:rPr>
                <w:rFonts w:ascii="Calibri" w:eastAsia="Times New Roman" w:hAnsi="Calibri" w:cs="Calibri"/>
                <w:b/>
                <w:bCs/>
                <w:color w:val="000000"/>
              </w:rPr>
            </w:pPr>
            <w:r w:rsidRPr="005B20DF">
              <w:rPr>
                <w:rFonts w:ascii="Calibri" w:eastAsia="Times New Roman" w:hAnsi="Calibri" w:cs="Calibri"/>
                <w:b/>
                <w:bCs/>
                <w:color w:val="000000"/>
              </w:rPr>
              <w:t>COMPTAGES</w:t>
            </w:r>
          </w:p>
        </w:tc>
        <w:tc>
          <w:tcPr>
            <w:tcW w:w="0" w:type="auto"/>
            <w:tcBorders>
              <w:top w:val="nil"/>
              <w:left w:val="nil"/>
              <w:bottom w:val="single" w:sz="8" w:space="0" w:color="auto"/>
              <w:right w:val="single" w:sz="8" w:space="0" w:color="auto"/>
            </w:tcBorders>
            <w:shd w:val="clear" w:color="000000" w:fill="BFBFBF"/>
            <w:noWrap/>
            <w:vAlign w:val="center"/>
            <w:hideMark/>
          </w:tcPr>
          <w:p w:rsidR="005B20DF" w:rsidRPr="005B20DF" w:rsidRDefault="005B20DF" w:rsidP="005B20DF">
            <w:pPr>
              <w:spacing w:after="0" w:line="240" w:lineRule="auto"/>
              <w:jc w:val="center"/>
              <w:rPr>
                <w:rFonts w:ascii="Calibri" w:eastAsia="Times New Roman" w:hAnsi="Calibri" w:cs="Calibri"/>
                <w:b/>
                <w:bCs/>
                <w:color w:val="000000"/>
              </w:rPr>
            </w:pPr>
            <w:r w:rsidRPr="005B20DF">
              <w:rPr>
                <w:rFonts w:ascii="Calibri" w:eastAsia="Times New Roman" w:hAnsi="Calibri" w:cs="Calibri"/>
                <w:b/>
                <w:bCs/>
                <w:color w:val="000000"/>
              </w:rPr>
              <w:t>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b/>
                <w:bCs/>
                <w:color w:val="000000"/>
                <w:u w:val="single"/>
              </w:rPr>
            </w:pPr>
            <w:r w:rsidRPr="005B20DF">
              <w:rPr>
                <w:rFonts w:ascii="Calibri" w:eastAsia="Times New Roman" w:hAnsi="Calibri" w:cs="Calibri"/>
                <w:b/>
                <w:bCs/>
                <w:color w:val="000000"/>
                <w:u w:val="single"/>
              </w:rPr>
              <w:t>Remplacement</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b/>
                <w:bCs/>
                <w:color w:val="000000"/>
                <w:u w:val="single"/>
              </w:rPr>
            </w:pPr>
            <w:r w:rsidRPr="005B20DF">
              <w:rPr>
                <w:rFonts w:ascii="Calibri" w:eastAsia="Times New Roman" w:hAnsi="Calibri" w:cs="Calibri"/>
                <w:b/>
                <w:bCs/>
                <w:color w:val="000000"/>
                <w:u w:val="single"/>
              </w:rPr>
              <w:t>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Remplacement du groupe de comptage ≥ 5 MVA</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C</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Remplacement du groupe de comptage P &lt; 5 MVA</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C</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Enlèvement d'un compteur sur raccordement Moyenne Tension</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C</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b/>
                <w:bCs/>
                <w:color w:val="000000"/>
                <w:u w:val="single"/>
              </w:rPr>
            </w:pPr>
            <w:r w:rsidRPr="005B20DF">
              <w:rPr>
                <w:rFonts w:ascii="Calibri" w:eastAsia="Times New Roman" w:hAnsi="Calibri" w:cs="Calibri"/>
                <w:b/>
                <w:bCs/>
                <w:color w:val="000000"/>
                <w:u w:val="single"/>
              </w:rPr>
              <w:t>Renforcement/ Déforcement de puissance mise à disposition</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b/>
                <w:bCs/>
                <w:color w:val="000000"/>
                <w:u w:val="single"/>
              </w:rPr>
            </w:pPr>
            <w:r w:rsidRPr="005B20DF">
              <w:rPr>
                <w:rFonts w:ascii="Calibri" w:eastAsia="Times New Roman" w:hAnsi="Calibri" w:cs="Calibri"/>
                <w:b/>
                <w:bCs/>
                <w:color w:val="000000"/>
                <w:u w:val="single"/>
              </w:rPr>
              <w:t>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Renforcement/Diminution de la puissance de raccordement Moyenne Tension</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A</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b/>
                <w:bCs/>
                <w:color w:val="000000"/>
                <w:u w:val="single"/>
              </w:rPr>
            </w:pPr>
            <w:r w:rsidRPr="005B20DF">
              <w:rPr>
                <w:rFonts w:ascii="Calibri" w:eastAsia="Times New Roman" w:hAnsi="Calibri" w:cs="Calibri"/>
                <w:b/>
                <w:bCs/>
                <w:color w:val="000000"/>
                <w:u w:val="single"/>
              </w:rPr>
              <w:t>Déplacement</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b/>
                <w:bCs/>
                <w:color w:val="000000"/>
                <w:u w:val="single"/>
              </w:rPr>
            </w:pPr>
            <w:r w:rsidRPr="005B20DF">
              <w:rPr>
                <w:rFonts w:ascii="Calibri" w:eastAsia="Times New Roman" w:hAnsi="Calibri" w:cs="Calibri"/>
                <w:b/>
                <w:bCs/>
                <w:color w:val="000000"/>
                <w:u w:val="single"/>
              </w:rPr>
              <w:t>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Déplacement compteur</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289,98 €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b/>
                <w:bCs/>
                <w:color w:val="000000"/>
                <w:u w:val="single"/>
              </w:rPr>
            </w:pPr>
            <w:r w:rsidRPr="005B20DF">
              <w:rPr>
                <w:rFonts w:ascii="Calibri" w:eastAsia="Times New Roman" w:hAnsi="Calibri" w:cs="Calibri"/>
                <w:b/>
                <w:bCs/>
                <w:color w:val="000000"/>
                <w:u w:val="single"/>
              </w:rPr>
              <w:t>Travaux comptage divers</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b/>
                <w:bCs/>
                <w:color w:val="000000"/>
                <w:u w:val="single"/>
              </w:rPr>
            </w:pPr>
            <w:r w:rsidRPr="005B20DF">
              <w:rPr>
                <w:rFonts w:ascii="Calibri" w:eastAsia="Times New Roman" w:hAnsi="Calibri" w:cs="Calibri"/>
                <w:b/>
                <w:bCs/>
                <w:color w:val="000000"/>
                <w:u w:val="single"/>
              </w:rPr>
              <w:t>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Contrôle métrologique d'un compteur Moyenne Tension sur place</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289,98 €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 xml:space="preserve">Contrôle métrologique d'un compteur Moyenne Tension en laboratoire </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598,08 €</w:t>
            </w:r>
          </w:p>
        </w:tc>
      </w:tr>
      <w:tr w:rsidR="005B20DF" w:rsidRPr="005B20DF" w:rsidTr="005B20DF">
        <w:trPr>
          <w:trHeight w:val="600"/>
        </w:trPr>
        <w:tc>
          <w:tcPr>
            <w:tcW w:w="0" w:type="auto"/>
            <w:tcBorders>
              <w:top w:val="nil"/>
              <w:left w:val="single" w:sz="8" w:space="0" w:color="auto"/>
              <w:bottom w:val="nil"/>
              <w:right w:val="single" w:sz="8" w:space="0" w:color="auto"/>
            </w:tcBorders>
            <w:shd w:val="clear" w:color="auto" w:fill="auto"/>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 xml:space="preserve">Mise à disposition d'impulsions pour un client MT (remplacement éventuel du compteur non compris) </w:t>
            </w:r>
          </w:p>
        </w:tc>
        <w:tc>
          <w:tcPr>
            <w:tcW w:w="0" w:type="auto"/>
            <w:tcBorders>
              <w:top w:val="nil"/>
              <w:left w:val="nil"/>
              <w:bottom w:val="nil"/>
              <w:right w:val="single" w:sz="8" w:space="0" w:color="auto"/>
            </w:tcBorders>
            <w:shd w:val="clear" w:color="auto" w:fill="auto"/>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144,99 €</w:t>
            </w:r>
          </w:p>
        </w:tc>
      </w:tr>
      <w:tr w:rsidR="005B20DF" w:rsidRPr="005B20DF" w:rsidTr="005B20DF">
        <w:trPr>
          <w:trHeight w:val="315"/>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Remplacement du fusible en défaut (coffret existant)</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108,74 €</w:t>
            </w:r>
          </w:p>
        </w:tc>
      </w:tr>
      <w:tr w:rsidR="005B20DF" w:rsidRPr="005B20DF" w:rsidTr="005B20DF">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5B20DF" w:rsidRPr="005B20DF" w:rsidRDefault="005B20DF" w:rsidP="005B20DF">
            <w:pPr>
              <w:spacing w:after="0" w:line="240" w:lineRule="auto"/>
              <w:rPr>
                <w:rFonts w:ascii="Calibri" w:eastAsia="Times New Roman" w:hAnsi="Calibri" w:cs="Calibri"/>
                <w:b/>
                <w:bCs/>
                <w:color w:val="000000"/>
              </w:rPr>
            </w:pPr>
            <w:r w:rsidRPr="005B20DF">
              <w:rPr>
                <w:rFonts w:ascii="Calibri" w:eastAsia="Times New Roman" w:hAnsi="Calibri" w:cs="Calibri"/>
                <w:b/>
                <w:bCs/>
                <w:color w:val="000000"/>
              </w:rPr>
              <w:t>MISE EN SERVICE - OUVERTURE - FERMETURE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5B20DF" w:rsidRPr="005B20DF" w:rsidRDefault="005B20DF" w:rsidP="005B20DF">
            <w:pPr>
              <w:spacing w:after="0" w:line="240" w:lineRule="auto"/>
              <w:jc w:val="center"/>
              <w:rPr>
                <w:rFonts w:ascii="Calibri" w:eastAsia="Times New Roman" w:hAnsi="Calibri" w:cs="Calibri"/>
                <w:b/>
                <w:bCs/>
                <w:color w:val="000000"/>
              </w:rPr>
            </w:pPr>
            <w:r w:rsidRPr="005B20DF">
              <w:rPr>
                <w:rFonts w:ascii="Calibri" w:eastAsia="Times New Roman" w:hAnsi="Calibri" w:cs="Calibri"/>
                <w:b/>
                <w:bCs/>
                <w:color w:val="000000"/>
              </w:rPr>
              <w:t>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 xml:space="preserve">Première mise en service d'un compteur </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Gratuit</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 xml:space="preserve">Mise en ou hors service ou rétablissement d'une cabine Moyenne Tension  </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434,96 €</w:t>
            </w:r>
          </w:p>
        </w:tc>
      </w:tr>
      <w:tr w:rsidR="005B20DF" w:rsidRPr="005B20DF" w:rsidTr="005B20DF">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 xml:space="preserve">Manoeuvres à la demande du client </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289,98 €</w:t>
            </w:r>
          </w:p>
        </w:tc>
      </w:tr>
      <w:tr w:rsidR="005B20DF" w:rsidRPr="005B20DF" w:rsidTr="005B20DF">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 xml:space="preserve">Placement groupe électrogène/jour/groupe </w:t>
            </w:r>
          </w:p>
        </w:tc>
        <w:tc>
          <w:tcPr>
            <w:tcW w:w="0" w:type="auto"/>
            <w:tcBorders>
              <w:top w:val="nil"/>
              <w:left w:val="nil"/>
              <w:bottom w:val="nil"/>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593,03 €</w:t>
            </w:r>
          </w:p>
        </w:tc>
      </w:tr>
      <w:tr w:rsidR="005B20DF" w:rsidRPr="005B20DF" w:rsidTr="005B20DF">
        <w:trPr>
          <w:trHeight w:val="315"/>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5B20DF" w:rsidRPr="005B20DF" w:rsidRDefault="005B20DF" w:rsidP="005B20DF">
            <w:pPr>
              <w:spacing w:after="0" w:line="240" w:lineRule="auto"/>
              <w:rPr>
                <w:rFonts w:ascii="Calibri" w:eastAsia="Times New Roman" w:hAnsi="Calibri" w:cs="Calibri"/>
                <w:b/>
                <w:bCs/>
                <w:color w:val="000000"/>
              </w:rPr>
            </w:pPr>
            <w:r w:rsidRPr="005B20DF">
              <w:rPr>
                <w:rFonts w:ascii="Calibri" w:eastAsia="Times New Roman" w:hAnsi="Calibri" w:cs="Calibri"/>
                <w:b/>
                <w:bCs/>
                <w:color w:val="000000"/>
              </w:rPr>
              <w:t>COUPURE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5B20DF" w:rsidRPr="005B20DF" w:rsidRDefault="005B20DF" w:rsidP="005B20DF">
            <w:pPr>
              <w:spacing w:after="0" w:line="240" w:lineRule="auto"/>
              <w:jc w:val="center"/>
              <w:rPr>
                <w:rFonts w:ascii="Calibri" w:eastAsia="Times New Roman" w:hAnsi="Calibri" w:cs="Calibri"/>
                <w:b/>
                <w:bCs/>
                <w:color w:val="000000"/>
              </w:rPr>
            </w:pPr>
            <w:r w:rsidRPr="005B20DF">
              <w:rPr>
                <w:rFonts w:ascii="Calibri" w:eastAsia="Times New Roman" w:hAnsi="Calibri" w:cs="Calibri"/>
                <w:b/>
                <w:bCs/>
                <w:color w:val="000000"/>
              </w:rPr>
              <w:t> </w:t>
            </w:r>
          </w:p>
        </w:tc>
      </w:tr>
      <w:tr w:rsidR="005B20DF" w:rsidRPr="005B20DF" w:rsidTr="005B20DF">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B20DF" w:rsidRPr="005B20DF" w:rsidRDefault="005B20DF" w:rsidP="005B20DF">
            <w:pPr>
              <w:spacing w:after="0" w:line="240" w:lineRule="auto"/>
              <w:rPr>
                <w:rFonts w:ascii="Calibri" w:eastAsia="Times New Roman" w:hAnsi="Calibri" w:cs="Calibri"/>
                <w:color w:val="000000"/>
              </w:rPr>
            </w:pPr>
            <w:r w:rsidRPr="005B20DF">
              <w:rPr>
                <w:rFonts w:ascii="Calibri" w:eastAsia="Times New Roman" w:hAnsi="Calibri" w:cs="Calibri"/>
                <w:color w:val="000000"/>
              </w:rPr>
              <w:t>Coupure à la cabine Moyenne Tension (ouverture disjoncteur de protection)</w:t>
            </w:r>
          </w:p>
        </w:tc>
        <w:tc>
          <w:tcPr>
            <w:tcW w:w="0" w:type="auto"/>
            <w:tcBorders>
              <w:top w:val="nil"/>
              <w:left w:val="nil"/>
              <w:bottom w:val="single" w:sz="8" w:space="0" w:color="auto"/>
              <w:right w:val="single" w:sz="8" w:space="0" w:color="auto"/>
            </w:tcBorders>
            <w:shd w:val="clear" w:color="auto" w:fill="auto"/>
            <w:noWrap/>
            <w:vAlign w:val="center"/>
            <w:hideMark/>
          </w:tcPr>
          <w:p w:rsidR="005B20DF" w:rsidRPr="005B20DF" w:rsidRDefault="005B20DF" w:rsidP="005B20DF">
            <w:pPr>
              <w:spacing w:after="0" w:line="240" w:lineRule="auto"/>
              <w:jc w:val="center"/>
              <w:rPr>
                <w:rFonts w:ascii="Calibri" w:eastAsia="Times New Roman" w:hAnsi="Calibri" w:cs="Calibri"/>
                <w:color w:val="000000"/>
              </w:rPr>
            </w:pPr>
            <w:r w:rsidRPr="005B20DF">
              <w:rPr>
                <w:rFonts w:ascii="Calibri" w:eastAsia="Times New Roman" w:hAnsi="Calibri" w:cs="Calibri"/>
                <w:color w:val="000000"/>
              </w:rPr>
              <w:t>289,98 €</w:t>
            </w:r>
          </w:p>
        </w:tc>
      </w:tr>
    </w:tbl>
    <w:p w:rsidR="00DC3CCA" w:rsidRDefault="00DC3CCA"/>
    <w:sectPr w:rsidR="00DC3CCA" w:rsidSect="005707AE">
      <w:footerReference w:type="default" r:id="rId15"/>
      <w:pgSz w:w="11907" w:h="16839"/>
      <w:pgMar w:top="1440" w:right="1050" w:bottom="1440" w:left="1050" w:header="612"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BE6" w:rsidRDefault="00AD4BE6">
      <w:pPr>
        <w:spacing w:after="0" w:line="240" w:lineRule="auto"/>
      </w:pPr>
      <w:r>
        <w:separator/>
      </w:r>
    </w:p>
  </w:endnote>
  <w:endnote w:type="continuationSeparator" w:id="0">
    <w:p w:rsidR="00AD4BE6" w:rsidRDefault="00AD4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FFF" w:rsidRDefault="00402FFF">
    <w:pPr>
      <w:jc w:val="right"/>
    </w:pPr>
  </w:p>
  <w:p w:rsidR="00402FFF" w:rsidRDefault="00402FFF">
    <w:pPr>
      <w:jc w:val="right"/>
    </w:pPr>
    <w:r>
      <w:fldChar w:fldCharType="begin"/>
    </w:r>
    <w:r>
      <w:instrText>PAGE   \* MERGEFORMAT</w:instrText>
    </w:r>
    <w:r>
      <w:fldChar w:fldCharType="separate"/>
    </w:r>
    <w:r>
      <w:rPr>
        <w:lang w:val="fr-FR"/>
      </w:rPr>
      <w:t>2</w:t>
    </w:r>
    <w:r>
      <w:fldChar w:fldCharType="end"/>
    </w:r>
    <w:r>
      <w:rPr>
        <w:lang w:val="fr-FR"/>
      </w:rPr>
      <w:t xml:space="preserve"> </w:t>
    </w:r>
    <w:r>
      <w:rPr>
        <w:color w:val="E68422" w:themeColor="accent3"/>
      </w:rPr>
      <w:sym w:font="Wingdings 2" w:char="F097"/>
    </w:r>
    <w:r>
      <w:rPr>
        <w:lang w:val="fr-FR"/>
      </w:rPr>
      <w:t xml:space="preserve"> </w:t>
    </w:r>
  </w:p>
  <w:p w:rsidR="00402FFF" w:rsidRDefault="00402FFF">
    <w:pPr>
      <w:jc w:val="right"/>
    </w:pPr>
    <w:r>
      <w:rPr>
        <w:noProof/>
      </w:rPr>
      <mc:AlternateContent>
        <mc:Choice Requires="wpg">
          <w:drawing>
            <wp:inline distT="0" distB="0" distL="0" distR="0" wp14:anchorId="57343996" wp14:editId="09921D1E">
              <wp:extent cx="2327910" cy="45085"/>
              <wp:effectExtent l="9525" t="9525" r="15240" b="12065"/>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F39E35" id="Grou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PuDwMAAAAJ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B9hTPuDwMAAAAJ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rsidR="00402FFF" w:rsidRDefault="00402FFF">
    <w:pPr>
      <w:pStyle w:val="Sansinterligne"/>
      <w:rPr>
        <w:sz w:val="2"/>
        <w:szCs w:val="2"/>
      </w:rPr>
    </w:pPr>
  </w:p>
  <w:p w:rsidR="00402FFF" w:rsidRDefault="00402FFF"/>
  <w:p w:rsidR="00402FFF" w:rsidRDefault="00402FFF"/>
  <w:p w:rsidR="00402FFF" w:rsidRDefault="00402F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FFF" w:rsidRDefault="00402FFF">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Pr>
        <w:noProof/>
        <w:color w:val="6076B4" w:themeColor="accent1"/>
      </w:rPr>
      <w:t>Raccordement</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5707AE">
      <w:rPr>
        <w:noProof/>
        <w:color w:val="6076B4" w:themeColor="accent1"/>
        <w:lang w:val="fr-FR"/>
      </w:rPr>
      <w:t>1</w:t>
    </w:r>
    <w:r>
      <w:rPr>
        <w:color w:val="6076B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FFF" w:rsidRDefault="00402FFF">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sidR="00853E68">
      <w:rPr>
        <w:noProof/>
        <w:color w:val="6076B4" w:themeColor="accent1"/>
      </w:rPr>
      <w:t>E : Frais d’ouverture de dossier et d’Etude</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825E93">
      <w:rPr>
        <w:noProof/>
        <w:color w:val="6076B4" w:themeColor="accent1"/>
        <w:lang w:val="fr-FR"/>
      </w:rPr>
      <w:t>3</w:t>
    </w:r>
    <w:r>
      <w:rPr>
        <w:color w:val="6076B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BE6" w:rsidRDefault="00AD4BE6">
      <w:pPr>
        <w:spacing w:after="0" w:line="240" w:lineRule="auto"/>
      </w:pPr>
      <w:r>
        <w:separator/>
      </w:r>
    </w:p>
  </w:footnote>
  <w:footnote w:type="continuationSeparator" w:id="0">
    <w:p w:rsidR="00AD4BE6" w:rsidRDefault="00AD4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6076B4" w:themeColor="accent1"/>
      </w:rPr>
      <w:alias w:val="Titre"/>
      <w:id w:val="-957637772"/>
      <w:dataBinding w:prefixMappings="xmlns:ns0='http://schemas.openxmlformats.org/package/2006/metadata/core-properties' xmlns:ns1='http://purl.org/dc/elements/1.1/'" w:xpath="/ns0:coreProperties[1]/ns1:title[1]" w:storeItemID="{6C3C8BC8-F283-45AE-878A-BAB7291924A1}"/>
      <w:text/>
    </w:sdtPr>
    <w:sdtEndPr/>
    <w:sdtContent>
      <w:p w:rsidR="00402FFF" w:rsidRDefault="006C7543">
        <w:pPr>
          <w:spacing w:after="0"/>
          <w:jc w:val="center"/>
          <w:rPr>
            <w:color w:val="E4E9EF" w:themeColor="background2"/>
          </w:rPr>
        </w:pPr>
        <w:r>
          <w:rPr>
            <w:color w:val="6076B4" w:themeColor="accent1"/>
          </w:rPr>
          <w:t>Tarifs non-périodique 2020</w:t>
        </w:r>
      </w:p>
    </w:sdtContent>
  </w:sdt>
  <w:p w:rsidR="00402FFF" w:rsidRDefault="00402FFF">
    <w:pPr>
      <w:jc w:val="center"/>
      <w:rPr>
        <w:color w:val="6076B4" w:themeColor="accent1"/>
      </w:rPr>
    </w:pPr>
    <w:r>
      <w:rPr>
        <w:color w:val="6076B4" w:themeColor="accent1"/>
      </w:rPr>
      <w:sym w:font="Symbol" w:char="F0B7"/>
    </w:r>
    <w:r>
      <w:rPr>
        <w:color w:val="6076B4" w:themeColor="accent1"/>
        <w:lang w:val="fr-FR"/>
      </w:rPr>
      <w:t xml:space="preserve"> </w:t>
    </w:r>
    <w:r>
      <w:rPr>
        <w:color w:val="6076B4" w:themeColor="accent1"/>
      </w:rPr>
      <w:sym w:font="Symbol" w:char="F0B7"/>
    </w:r>
    <w:r>
      <w:rPr>
        <w:color w:val="6076B4" w:themeColor="accent1"/>
        <w:lang w:val="fr-FR"/>
      </w:rPr>
      <w:t xml:space="preserve"> </w:t>
    </w:r>
    <w:r>
      <w:rPr>
        <w:color w:val="6076B4" w:themeColor="accent1"/>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3B36"/>
    <w:multiLevelType w:val="multilevel"/>
    <w:tmpl w:val="71DED3D8"/>
    <w:lvl w:ilvl="0">
      <w:numFmt w:val="bullet"/>
      <w:lvlText w:val="-"/>
      <w:lvlJc w:val="left"/>
      <w:pPr>
        <w:ind w:left="1800" w:hanging="360"/>
      </w:pPr>
      <w:rPr>
        <w:rFonts w:ascii="Palatino Linotype" w:eastAsiaTheme="minorEastAsia" w:hAnsi="Palatino Linotype" w:cstheme="minorBidi" w:hint="default"/>
      </w:rPr>
    </w:lvl>
    <w:lvl w:ilvl="1">
      <w:start w:val="4"/>
      <w:numFmt w:val="decimal"/>
      <w:lvlText w:val="%1.%2."/>
      <w:lvlJc w:val="left"/>
      <w:pPr>
        <w:ind w:left="2232" w:hanging="432"/>
      </w:pPr>
      <w:rPr>
        <w:rFonts w:hint="default"/>
      </w:rPr>
    </w:lvl>
    <w:lvl w:ilvl="2">
      <w:start w:val="16"/>
      <w:numFmt w:val="upperLetter"/>
      <w:lvlText w:val="E%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4560CD9"/>
    <w:multiLevelType w:val="multilevel"/>
    <w:tmpl w:val="69A40F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B718D"/>
    <w:multiLevelType w:val="hybridMultilevel"/>
    <w:tmpl w:val="F13E665E"/>
    <w:lvl w:ilvl="0" w:tplc="C57C9D00">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5654E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B32F84"/>
    <w:multiLevelType w:val="hybridMultilevel"/>
    <w:tmpl w:val="5E44E4D4"/>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87B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055F40"/>
    <w:multiLevelType w:val="multilevel"/>
    <w:tmpl w:val="8576855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F21A9D"/>
    <w:multiLevelType w:val="hybridMultilevel"/>
    <w:tmpl w:val="2BACE6BE"/>
    <w:lvl w:ilvl="0" w:tplc="21F2B984">
      <w:numFmt w:val="bullet"/>
      <w:lvlText w:val="-"/>
      <w:lvlJc w:val="left"/>
      <w:pPr>
        <w:ind w:left="720" w:hanging="360"/>
      </w:pPr>
      <w:rPr>
        <w:rFonts w:ascii="Palatino Linotype" w:eastAsiaTheme="minorEastAsia" w:hAnsi="Palatino Linotype" w:cstheme="minorBidi" w:hint="default"/>
      </w:rPr>
    </w:lvl>
    <w:lvl w:ilvl="1" w:tplc="C57C9D00">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3F83EC9"/>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64FC2"/>
    <w:multiLevelType w:val="hybridMultilevel"/>
    <w:tmpl w:val="0E78620C"/>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EB7F42"/>
    <w:multiLevelType w:val="hybridMultilevel"/>
    <w:tmpl w:val="C5CC97CE"/>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9D87BA0"/>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391484"/>
    <w:multiLevelType w:val="multilevel"/>
    <w:tmpl w:val="E00475D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C11E19"/>
    <w:multiLevelType w:val="multilevel"/>
    <w:tmpl w:val="5900C82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E56BC1"/>
    <w:multiLevelType w:val="hybridMultilevel"/>
    <w:tmpl w:val="4C64E5CA"/>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78D69D3"/>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FD77EE"/>
    <w:multiLevelType w:val="hybridMultilevel"/>
    <w:tmpl w:val="902C90D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B7D6560"/>
    <w:multiLevelType w:val="hybridMultilevel"/>
    <w:tmpl w:val="9EA6DE1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C217370"/>
    <w:multiLevelType w:val="hybridMultilevel"/>
    <w:tmpl w:val="ACF2723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C8340A2"/>
    <w:multiLevelType w:val="hybridMultilevel"/>
    <w:tmpl w:val="78F6E504"/>
    <w:lvl w:ilvl="0" w:tplc="21F2B984">
      <w:numFmt w:val="bullet"/>
      <w:lvlText w:val="-"/>
      <w:lvlJc w:val="left"/>
      <w:pPr>
        <w:ind w:left="1800" w:hanging="360"/>
      </w:pPr>
      <w:rPr>
        <w:rFonts w:ascii="Palatino Linotype" w:eastAsiaTheme="minorEastAsia" w:hAnsi="Palatino Linotype" w:cstheme="minorBid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0" w15:restartNumberingAfterBreak="0">
    <w:nsid w:val="3EE63CE4"/>
    <w:multiLevelType w:val="hybridMultilevel"/>
    <w:tmpl w:val="7C1842C8"/>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008262D"/>
    <w:multiLevelType w:val="hybridMultilevel"/>
    <w:tmpl w:val="DF8C888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76D6BB9"/>
    <w:multiLevelType w:val="hybridMultilevel"/>
    <w:tmpl w:val="B004F9DA"/>
    <w:lvl w:ilvl="0" w:tplc="21F2B984">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496976EE"/>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EA396F"/>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FE0A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F4264E"/>
    <w:multiLevelType w:val="multilevel"/>
    <w:tmpl w:val="36ACE93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FF08C9"/>
    <w:multiLevelType w:val="multilevel"/>
    <w:tmpl w:val="62EC8DD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E512D1"/>
    <w:multiLevelType w:val="hybridMultilevel"/>
    <w:tmpl w:val="386E35B4"/>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CB93512"/>
    <w:multiLevelType w:val="hybridMultilevel"/>
    <w:tmpl w:val="8564F5A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FCB1125"/>
    <w:multiLevelType w:val="hybridMultilevel"/>
    <w:tmpl w:val="DEE6C502"/>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55352C3"/>
    <w:multiLevelType w:val="multilevel"/>
    <w:tmpl w:val="899A4F0E"/>
    <w:lvl w:ilvl="0">
      <w:start w:val="1"/>
      <w:numFmt w:val="bullet"/>
      <w:lvlText w:val=""/>
      <w:lvlJc w:val="left"/>
      <w:pPr>
        <w:ind w:left="1080" w:hanging="360"/>
      </w:pPr>
      <w:rPr>
        <w:rFonts w:ascii="Symbol" w:hAnsi="Symbol" w:hint="default"/>
      </w:rPr>
    </w:lvl>
    <w:lvl w:ilvl="1">
      <w:start w:val="4"/>
      <w:numFmt w:val="decimal"/>
      <w:lvlText w:val="%1.%2."/>
      <w:lvlJc w:val="left"/>
      <w:pPr>
        <w:ind w:left="1512" w:hanging="432"/>
      </w:pPr>
      <w:rPr>
        <w:rFonts w:hint="default"/>
      </w:rPr>
    </w:lvl>
    <w:lvl w:ilvl="2">
      <w:start w:val="16"/>
      <w:numFmt w:val="upperLetter"/>
      <w:lvlText w:val="E%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76265DA7"/>
    <w:multiLevelType w:val="hybridMultilevel"/>
    <w:tmpl w:val="11684926"/>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8C9042A"/>
    <w:multiLevelType w:val="hybridMultilevel"/>
    <w:tmpl w:val="CC740D7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F537967"/>
    <w:multiLevelType w:val="hybridMultilevel"/>
    <w:tmpl w:val="90301DF6"/>
    <w:lvl w:ilvl="0" w:tplc="21F2B984">
      <w:numFmt w:val="bullet"/>
      <w:lvlText w:val="-"/>
      <w:lvlJc w:val="left"/>
      <w:pPr>
        <w:ind w:left="720" w:hanging="360"/>
      </w:pPr>
      <w:rPr>
        <w:rFonts w:ascii="Palatino Linotype" w:eastAsiaTheme="minorEastAsia" w:hAnsi="Palatino Linotype"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15"/>
  </w:num>
  <w:num w:numId="3">
    <w:abstractNumId w:val="7"/>
  </w:num>
  <w:num w:numId="4">
    <w:abstractNumId w:val="26"/>
  </w:num>
  <w:num w:numId="5">
    <w:abstractNumId w:val="6"/>
  </w:num>
  <w:num w:numId="6">
    <w:abstractNumId w:val="25"/>
  </w:num>
  <w:num w:numId="7">
    <w:abstractNumId w:val="11"/>
  </w:num>
  <w:num w:numId="8">
    <w:abstractNumId w:val="5"/>
  </w:num>
  <w:num w:numId="9">
    <w:abstractNumId w:val="24"/>
  </w:num>
  <w:num w:numId="10">
    <w:abstractNumId w:val="23"/>
  </w:num>
  <w:num w:numId="11">
    <w:abstractNumId w:val="8"/>
  </w:num>
  <w:num w:numId="12">
    <w:abstractNumId w:val="27"/>
  </w:num>
  <w:num w:numId="13">
    <w:abstractNumId w:val="13"/>
  </w:num>
  <w:num w:numId="14">
    <w:abstractNumId w:val="12"/>
  </w:num>
  <w:num w:numId="15">
    <w:abstractNumId w:val="33"/>
  </w:num>
  <w:num w:numId="16">
    <w:abstractNumId w:val="9"/>
  </w:num>
  <w:num w:numId="17">
    <w:abstractNumId w:val="21"/>
  </w:num>
  <w:num w:numId="18">
    <w:abstractNumId w:val="30"/>
  </w:num>
  <w:num w:numId="19">
    <w:abstractNumId w:val="16"/>
  </w:num>
  <w:num w:numId="20">
    <w:abstractNumId w:val="17"/>
  </w:num>
  <w:num w:numId="21">
    <w:abstractNumId w:val="18"/>
  </w:num>
  <w:num w:numId="22">
    <w:abstractNumId w:val="34"/>
  </w:num>
  <w:num w:numId="23">
    <w:abstractNumId w:val="29"/>
  </w:num>
  <w:num w:numId="24">
    <w:abstractNumId w:val="1"/>
  </w:num>
  <w:num w:numId="25">
    <w:abstractNumId w:val="32"/>
  </w:num>
  <w:num w:numId="26">
    <w:abstractNumId w:val="28"/>
  </w:num>
  <w:num w:numId="27">
    <w:abstractNumId w:val="10"/>
  </w:num>
  <w:num w:numId="28">
    <w:abstractNumId w:val="0"/>
  </w:num>
  <w:num w:numId="29">
    <w:abstractNumId w:val="19"/>
  </w:num>
  <w:num w:numId="30">
    <w:abstractNumId w:val="22"/>
  </w:num>
  <w:num w:numId="31">
    <w:abstractNumId w:val="20"/>
  </w:num>
  <w:num w:numId="32">
    <w:abstractNumId w:val="31"/>
  </w:num>
  <w:num w:numId="33">
    <w:abstractNumId w:val="4"/>
  </w:num>
  <w:num w:numId="34">
    <w:abstractNumId w:val="2"/>
  </w:num>
  <w:num w:numId="35">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5"/>
    <w:rsid w:val="00007C71"/>
    <w:rsid w:val="00066A74"/>
    <w:rsid w:val="00071959"/>
    <w:rsid w:val="00071BA3"/>
    <w:rsid w:val="000877C0"/>
    <w:rsid w:val="000906F3"/>
    <w:rsid w:val="00090BEC"/>
    <w:rsid w:val="0009788D"/>
    <w:rsid w:val="00103E8E"/>
    <w:rsid w:val="00113DF3"/>
    <w:rsid w:val="0011561B"/>
    <w:rsid w:val="00122831"/>
    <w:rsid w:val="0014102E"/>
    <w:rsid w:val="0016241C"/>
    <w:rsid w:val="00166857"/>
    <w:rsid w:val="00181535"/>
    <w:rsid w:val="001B092B"/>
    <w:rsid w:val="001B0C6D"/>
    <w:rsid w:val="001B1B29"/>
    <w:rsid w:val="001C06FF"/>
    <w:rsid w:val="001D130A"/>
    <w:rsid w:val="001D4064"/>
    <w:rsid w:val="001D7F23"/>
    <w:rsid w:val="001E6169"/>
    <w:rsid w:val="001F1366"/>
    <w:rsid w:val="001F1DBF"/>
    <w:rsid w:val="00201493"/>
    <w:rsid w:val="00202676"/>
    <w:rsid w:val="00203EB4"/>
    <w:rsid w:val="002164DA"/>
    <w:rsid w:val="002173D7"/>
    <w:rsid w:val="00265B8D"/>
    <w:rsid w:val="00274B21"/>
    <w:rsid w:val="00285194"/>
    <w:rsid w:val="00297C65"/>
    <w:rsid w:val="002A328A"/>
    <w:rsid w:val="002B1AE9"/>
    <w:rsid w:val="002D4478"/>
    <w:rsid w:val="002E309E"/>
    <w:rsid w:val="002F5993"/>
    <w:rsid w:val="00313134"/>
    <w:rsid w:val="00323565"/>
    <w:rsid w:val="00326463"/>
    <w:rsid w:val="00333C7A"/>
    <w:rsid w:val="00335BF7"/>
    <w:rsid w:val="00346637"/>
    <w:rsid w:val="00354C7B"/>
    <w:rsid w:val="00364D18"/>
    <w:rsid w:val="00376CBA"/>
    <w:rsid w:val="00380930"/>
    <w:rsid w:val="00381AA2"/>
    <w:rsid w:val="003B1664"/>
    <w:rsid w:val="003C1E54"/>
    <w:rsid w:val="003C59E7"/>
    <w:rsid w:val="003C66A7"/>
    <w:rsid w:val="003D3506"/>
    <w:rsid w:val="003D3D81"/>
    <w:rsid w:val="003F24F1"/>
    <w:rsid w:val="00402FFF"/>
    <w:rsid w:val="004105C9"/>
    <w:rsid w:val="00414215"/>
    <w:rsid w:val="00417E59"/>
    <w:rsid w:val="00441502"/>
    <w:rsid w:val="00442BB7"/>
    <w:rsid w:val="004946CB"/>
    <w:rsid w:val="004A6445"/>
    <w:rsid w:val="004B1FF7"/>
    <w:rsid w:val="004E6AF5"/>
    <w:rsid w:val="005011CE"/>
    <w:rsid w:val="005063A8"/>
    <w:rsid w:val="0052749F"/>
    <w:rsid w:val="005306FE"/>
    <w:rsid w:val="00536987"/>
    <w:rsid w:val="00546FB2"/>
    <w:rsid w:val="00554590"/>
    <w:rsid w:val="005707AE"/>
    <w:rsid w:val="00572B72"/>
    <w:rsid w:val="005B20DF"/>
    <w:rsid w:val="005B3E91"/>
    <w:rsid w:val="005E04BE"/>
    <w:rsid w:val="005E129C"/>
    <w:rsid w:val="005E241F"/>
    <w:rsid w:val="005F439E"/>
    <w:rsid w:val="00656DDA"/>
    <w:rsid w:val="00673B69"/>
    <w:rsid w:val="006949C5"/>
    <w:rsid w:val="006B7117"/>
    <w:rsid w:val="006C012C"/>
    <w:rsid w:val="006C7543"/>
    <w:rsid w:val="006E15A7"/>
    <w:rsid w:val="006F58AE"/>
    <w:rsid w:val="007025AF"/>
    <w:rsid w:val="0072514C"/>
    <w:rsid w:val="00750C64"/>
    <w:rsid w:val="00764537"/>
    <w:rsid w:val="007674D4"/>
    <w:rsid w:val="007777DB"/>
    <w:rsid w:val="00781810"/>
    <w:rsid w:val="00782AEC"/>
    <w:rsid w:val="00794A02"/>
    <w:rsid w:val="007A4BA7"/>
    <w:rsid w:val="007A6AED"/>
    <w:rsid w:val="007D0846"/>
    <w:rsid w:val="007F7467"/>
    <w:rsid w:val="008000E7"/>
    <w:rsid w:val="00803B4F"/>
    <w:rsid w:val="0081341B"/>
    <w:rsid w:val="0081744B"/>
    <w:rsid w:val="00817F8C"/>
    <w:rsid w:val="00825BD5"/>
    <w:rsid w:val="00825E93"/>
    <w:rsid w:val="00827E4A"/>
    <w:rsid w:val="00831C67"/>
    <w:rsid w:val="00853E68"/>
    <w:rsid w:val="00857282"/>
    <w:rsid w:val="008D3E54"/>
    <w:rsid w:val="008D74DE"/>
    <w:rsid w:val="008E77CC"/>
    <w:rsid w:val="008F0EDD"/>
    <w:rsid w:val="008F5F55"/>
    <w:rsid w:val="00902FCD"/>
    <w:rsid w:val="009278AA"/>
    <w:rsid w:val="00934139"/>
    <w:rsid w:val="009570E4"/>
    <w:rsid w:val="00983AEE"/>
    <w:rsid w:val="009A0EBF"/>
    <w:rsid w:val="009B0212"/>
    <w:rsid w:val="009B3ADB"/>
    <w:rsid w:val="009C075E"/>
    <w:rsid w:val="009E050F"/>
    <w:rsid w:val="009E5471"/>
    <w:rsid w:val="009E5B6D"/>
    <w:rsid w:val="009F645A"/>
    <w:rsid w:val="00A04475"/>
    <w:rsid w:val="00A64BA9"/>
    <w:rsid w:val="00A73F03"/>
    <w:rsid w:val="00A861EA"/>
    <w:rsid w:val="00A86754"/>
    <w:rsid w:val="00A9111C"/>
    <w:rsid w:val="00A97ADC"/>
    <w:rsid w:val="00AA5280"/>
    <w:rsid w:val="00AC7C42"/>
    <w:rsid w:val="00AD4BE6"/>
    <w:rsid w:val="00AF0BD9"/>
    <w:rsid w:val="00AF2610"/>
    <w:rsid w:val="00B05DC5"/>
    <w:rsid w:val="00B172FF"/>
    <w:rsid w:val="00B1788B"/>
    <w:rsid w:val="00B2167B"/>
    <w:rsid w:val="00B23EA9"/>
    <w:rsid w:val="00B31560"/>
    <w:rsid w:val="00B3406B"/>
    <w:rsid w:val="00B37D3B"/>
    <w:rsid w:val="00B70941"/>
    <w:rsid w:val="00B73F71"/>
    <w:rsid w:val="00B74410"/>
    <w:rsid w:val="00B75068"/>
    <w:rsid w:val="00B75C5E"/>
    <w:rsid w:val="00B80E1E"/>
    <w:rsid w:val="00B84D9B"/>
    <w:rsid w:val="00B85574"/>
    <w:rsid w:val="00B856BA"/>
    <w:rsid w:val="00B87210"/>
    <w:rsid w:val="00B952BE"/>
    <w:rsid w:val="00BB3562"/>
    <w:rsid w:val="00BC629D"/>
    <w:rsid w:val="00BD5CE9"/>
    <w:rsid w:val="00BE1569"/>
    <w:rsid w:val="00BE5245"/>
    <w:rsid w:val="00BF1A79"/>
    <w:rsid w:val="00BF57A6"/>
    <w:rsid w:val="00BF7D6B"/>
    <w:rsid w:val="00C17F1F"/>
    <w:rsid w:val="00C32848"/>
    <w:rsid w:val="00C37B1C"/>
    <w:rsid w:val="00C4710B"/>
    <w:rsid w:val="00C51033"/>
    <w:rsid w:val="00C6216A"/>
    <w:rsid w:val="00C625DC"/>
    <w:rsid w:val="00C67653"/>
    <w:rsid w:val="00C70BF9"/>
    <w:rsid w:val="00C713F2"/>
    <w:rsid w:val="00C85625"/>
    <w:rsid w:val="00CA33E5"/>
    <w:rsid w:val="00CC6F9B"/>
    <w:rsid w:val="00CF5C6B"/>
    <w:rsid w:val="00D05A02"/>
    <w:rsid w:val="00D474E8"/>
    <w:rsid w:val="00D56A8D"/>
    <w:rsid w:val="00D90974"/>
    <w:rsid w:val="00D94075"/>
    <w:rsid w:val="00DB1529"/>
    <w:rsid w:val="00DC3CCA"/>
    <w:rsid w:val="00DC41EE"/>
    <w:rsid w:val="00DC5CE9"/>
    <w:rsid w:val="00E15B70"/>
    <w:rsid w:val="00E30764"/>
    <w:rsid w:val="00E56D8E"/>
    <w:rsid w:val="00E80857"/>
    <w:rsid w:val="00E82B51"/>
    <w:rsid w:val="00E83387"/>
    <w:rsid w:val="00E83434"/>
    <w:rsid w:val="00E90A6A"/>
    <w:rsid w:val="00E92373"/>
    <w:rsid w:val="00E97B9A"/>
    <w:rsid w:val="00EC21D0"/>
    <w:rsid w:val="00ED3F5C"/>
    <w:rsid w:val="00EF5055"/>
    <w:rsid w:val="00EF6EA7"/>
    <w:rsid w:val="00F014B3"/>
    <w:rsid w:val="00F15AC5"/>
    <w:rsid w:val="00F205DA"/>
    <w:rsid w:val="00F32FEF"/>
    <w:rsid w:val="00F66768"/>
    <w:rsid w:val="00F66F20"/>
    <w:rsid w:val="00F75CFF"/>
    <w:rsid w:val="00F925A0"/>
    <w:rsid w:val="00F94248"/>
    <w:rsid w:val="00FB0593"/>
    <w:rsid w:val="00FB4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8D801"/>
  <w15:docId w15:val="{CE66C671-4339-431E-A2ED-EB558534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Titre3">
    <w:name w:val="heading 3"/>
    <w:basedOn w:val="Normal"/>
    <w:next w:val="Normal"/>
    <w:link w:val="Titre3C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Titre4">
    <w:name w:val="heading 4"/>
    <w:basedOn w:val="Normal"/>
    <w:next w:val="Normal"/>
    <w:link w:val="Titre4C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Titre5">
    <w:name w:val="heading 5"/>
    <w:basedOn w:val="Normal"/>
    <w:next w:val="Normal"/>
    <w:link w:val="Titre5C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itre7">
    <w:name w:val="heading 7"/>
    <w:basedOn w:val="Normal"/>
    <w:next w:val="Normal"/>
    <w:link w:val="Titre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itre8">
    <w:name w:val="heading 8"/>
    <w:basedOn w:val="Normal"/>
    <w:next w:val="Normal"/>
    <w:link w:val="Titre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Cs/>
      <w:i/>
      <w:color w:val="auto"/>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auto"/>
      <w:sz w:val="28"/>
      <w:szCs w:val="28"/>
    </w:rPr>
  </w:style>
  <w:style w:type="character" w:customStyle="1" w:styleId="Titre3Car">
    <w:name w:val="Titre 3 Car"/>
    <w:basedOn w:val="Policepardfaut"/>
    <w:link w:val="Titre3"/>
    <w:uiPriority w:val="9"/>
    <w:rPr>
      <w:rFonts w:asciiTheme="majorHAnsi" w:eastAsiaTheme="majorEastAsia" w:hAnsiTheme="majorHAnsi" w:cstheme="majorBidi"/>
      <w:bCs/>
      <w:i/>
      <w:color w:val="auto"/>
      <w:sz w:val="23"/>
    </w:rPr>
  </w:style>
  <w:style w:type="paragraph" w:styleId="Titre">
    <w:name w:val="Title"/>
    <w:basedOn w:val="Normal"/>
    <w:next w:val="Normal"/>
    <w:link w:val="TitreC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reCar">
    <w:name w:val="Titre Car"/>
    <w:basedOn w:val="Policepardfaut"/>
    <w:link w:val="Titre"/>
    <w:uiPriority w:val="10"/>
    <w:rPr>
      <w:rFonts w:asciiTheme="majorHAnsi" w:eastAsiaTheme="majorEastAsia" w:hAnsiTheme="majorHAnsi" w:cstheme="majorBidi"/>
      <w:color w:val="auto"/>
      <w:spacing w:val="5"/>
      <w:kern w:val="28"/>
      <w:sz w:val="60"/>
      <w:szCs w:val="60"/>
      <w14:ligatures w14:val="standardContextual"/>
      <w14:cntxtAlts/>
    </w:rPr>
  </w:style>
  <w:style w:type="paragraph" w:styleId="Sous-titre">
    <w:name w:val="Subtitle"/>
    <w:basedOn w:val="Normal"/>
    <w:next w:val="Normal"/>
    <w:link w:val="Sous-titreCar"/>
    <w:uiPriority w:val="11"/>
    <w:qFormat/>
    <w:pPr>
      <w:numPr>
        <w:ilvl w:val="1"/>
      </w:numPr>
    </w:pPr>
    <w:rPr>
      <w:rFonts w:eastAsiaTheme="majorEastAsia" w:cstheme="majorBidi"/>
      <w:iCs/>
      <w:color w:val="000000" w:themeColor="text1"/>
      <w:spacing w:val="15"/>
      <w:sz w:val="24"/>
      <w:szCs w:val="24"/>
    </w:rPr>
  </w:style>
  <w:style w:type="character" w:customStyle="1" w:styleId="Sous-titreCar">
    <w:name w:val="Sous-titre Car"/>
    <w:basedOn w:val="Policepardfaut"/>
    <w:link w:val="Sous-titre"/>
    <w:uiPriority w:val="11"/>
    <w:rPr>
      <w:rFonts w:eastAsiaTheme="majorEastAsia" w:cstheme="majorBidi"/>
      <w:iCs/>
      <w:color w:val="auto"/>
      <w:spacing w:val="15"/>
      <w:sz w:val="24"/>
      <w:szCs w:val="24"/>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eastAsiaTheme="minorEastAsia"/>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EastAsia" w:hAnsi="Tahoma" w:cs="Tahoma"/>
      <w:sz w:val="16"/>
      <w:szCs w:val="16"/>
    </w:rPr>
  </w:style>
  <w:style w:type="character" w:customStyle="1" w:styleId="Titre4Car">
    <w:name w:val="Titre 4 Car"/>
    <w:basedOn w:val="Policepardfaut"/>
    <w:link w:val="Titre4"/>
    <w:uiPriority w:val="9"/>
    <w:semiHidden/>
    <w:rPr>
      <w:rFonts w:asciiTheme="majorHAnsi" w:eastAsiaTheme="majorEastAsia" w:hAnsiTheme="majorHAnsi" w:cstheme="majorBidi"/>
      <w:bCs/>
      <w:i/>
      <w:iCs/>
      <w:color w:val="auto"/>
      <w:sz w:val="23"/>
    </w:rPr>
  </w:style>
  <w:style w:type="character" w:customStyle="1" w:styleId="Titre5Car">
    <w:name w:val="Titre 5 Car"/>
    <w:basedOn w:val="Policepardfaut"/>
    <w:link w:val="Titre5"/>
    <w:uiPriority w:val="9"/>
    <w:semiHidden/>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000000"/>
      <w:sz w:val="21"/>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000000"/>
      <w:sz w:val="21"/>
    </w:rPr>
  </w:style>
  <w:style w:type="character" w:customStyle="1" w:styleId="Titre8Car">
    <w:name w:val="Titre 8 Car"/>
    <w:basedOn w:val="Policepardfaut"/>
    <w:link w:val="Titre8"/>
    <w:uiPriority w:val="9"/>
    <w:semiHidden/>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pPr>
      <w:spacing w:line="240" w:lineRule="auto"/>
    </w:pPr>
    <w:rPr>
      <w:b/>
      <w:bCs/>
      <w:color w:val="2F5897" w:themeColor="text2"/>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color w:val="auto"/>
    </w:rPr>
  </w:style>
  <w:style w:type="paragraph" w:styleId="Paragraphedeliste">
    <w:name w:val="List Paragraph"/>
    <w:basedOn w:val="Normal"/>
    <w:uiPriority w:val="34"/>
    <w:qFormat/>
    <w:pPr>
      <w:spacing w:after="160" w:line="240" w:lineRule="auto"/>
      <w:ind w:left="1008" w:hanging="288"/>
      <w:contextualSpacing/>
    </w:pPr>
    <w:rPr>
      <w:rFonts w:eastAsiaTheme="minorHAnsi"/>
      <w:sz w:val="21"/>
    </w:rPr>
  </w:style>
  <w:style w:type="paragraph" w:styleId="Citation">
    <w:name w:val="Quote"/>
    <w:basedOn w:val="Normal"/>
    <w:next w:val="Normal"/>
    <w:link w:val="CitationC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tionCar">
    <w:name w:val="Citation Car"/>
    <w:basedOn w:val="Policepardfaut"/>
    <w:link w:val="Citation"/>
    <w:uiPriority w:val="29"/>
    <w:rPr>
      <w:rFonts w:asciiTheme="majorHAnsi" w:hAnsiTheme="majorHAnsi"/>
      <w:i/>
      <w:iCs/>
      <w:color w:val="auto"/>
      <w:sz w:val="24"/>
    </w:rPr>
  </w:style>
  <w:style w:type="paragraph" w:styleId="Citationintense">
    <w:name w:val="Intense Quote"/>
    <w:basedOn w:val="Normal"/>
    <w:next w:val="Normal"/>
    <w:link w:val="CitationintenseC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tionintenseCar">
    <w:name w:val="Citation intense Car"/>
    <w:basedOn w:val="Policepardfaut"/>
    <w:link w:val="Citationintense"/>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Accentuationlgre">
    <w:name w:val="Subtle Emphasis"/>
    <w:basedOn w:val="Policepardfaut"/>
    <w:uiPriority w:val="19"/>
    <w:qFormat/>
    <w:rPr>
      <w:i/>
      <w:iCs/>
      <w:color w:val="auto"/>
    </w:rPr>
  </w:style>
  <w:style w:type="character" w:styleId="Accentuationintense">
    <w:name w:val="Intense Emphasis"/>
    <w:basedOn w:val="Policepardfaut"/>
    <w:uiPriority w:val="21"/>
    <w:qFormat/>
    <w:rPr>
      <w:b/>
      <w:bCs/>
      <w:i/>
      <w:iCs/>
      <w:caps w:val="0"/>
      <w:smallCaps w:val="0"/>
      <w:color w:val="auto"/>
    </w:rPr>
  </w:style>
  <w:style w:type="character" w:styleId="Rfrencelgre">
    <w:name w:val="Subtle Reference"/>
    <w:basedOn w:val="Policepardfaut"/>
    <w:uiPriority w:val="31"/>
    <w:qFormat/>
    <w:rPr>
      <w:smallCaps/>
      <w:color w:val="auto"/>
      <w:u w:val="single"/>
    </w:rPr>
  </w:style>
  <w:style w:type="character" w:styleId="Rfrenceintense">
    <w:name w:val="Intense Reference"/>
    <w:basedOn w:val="Policepardfaut"/>
    <w:uiPriority w:val="32"/>
    <w:qFormat/>
    <w:rPr>
      <w:b/>
      <w:bCs/>
      <w:caps w:val="0"/>
      <w:smallCaps w:val="0"/>
      <w:color w:val="auto"/>
      <w:spacing w:val="5"/>
      <w:u w:val="single"/>
    </w:rPr>
  </w:style>
  <w:style w:type="character" w:styleId="Titredulivre">
    <w:name w:val="Book Title"/>
    <w:basedOn w:val="Policepardfaut"/>
    <w:uiPriority w:val="33"/>
    <w:qFormat/>
    <w:rPr>
      <w:b/>
      <w:bCs/>
      <w:caps w:val="0"/>
      <w:smallCaps/>
      <w:spacing w:val="10"/>
    </w:rPr>
  </w:style>
  <w:style w:type="paragraph" w:styleId="En-ttedetabledesmatires">
    <w:name w:val="TOC Heading"/>
    <w:basedOn w:val="Titre1"/>
    <w:next w:val="Normal"/>
    <w:uiPriority w:val="39"/>
    <w:semiHidden/>
    <w:unhideWhenUsed/>
    <w:qFormat/>
    <w:pPr>
      <w:spacing w:before="480" w:line="276" w:lineRule="auto"/>
      <w:outlineLvl w:val="9"/>
    </w:pPr>
    <w:rPr>
      <w:b/>
      <w:i w:val="0"/>
      <w:sz w:val="28"/>
      <w:szCs w:val="28"/>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59"/>
    <w:rsid w:val="0053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5707AE"/>
    <w:pPr>
      <w:spacing w:after="100"/>
    </w:pPr>
  </w:style>
  <w:style w:type="character" w:styleId="Lienhypertexte">
    <w:name w:val="Hyperlink"/>
    <w:basedOn w:val="Policepardfaut"/>
    <w:uiPriority w:val="99"/>
    <w:unhideWhenUsed/>
    <w:rsid w:val="005707AE"/>
    <w:rPr>
      <w:color w:val="3399FF" w:themeColor="hyperlink"/>
      <w:u w:val="single"/>
    </w:rPr>
  </w:style>
  <w:style w:type="paragraph" w:styleId="TM2">
    <w:name w:val="toc 2"/>
    <w:basedOn w:val="Normal"/>
    <w:next w:val="Normal"/>
    <w:autoRedefine/>
    <w:uiPriority w:val="39"/>
    <w:unhideWhenUsed/>
    <w:rsid w:val="005011CE"/>
    <w:pPr>
      <w:spacing w:after="100"/>
      <w:ind w:left="220"/>
    </w:pPr>
  </w:style>
  <w:style w:type="paragraph" w:styleId="TM3">
    <w:name w:val="toc 3"/>
    <w:basedOn w:val="Normal"/>
    <w:next w:val="Normal"/>
    <w:autoRedefine/>
    <w:uiPriority w:val="39"/>
    <w:unhideWhenUsed/>
    <w:rsid w:val="00354C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603">
      <w:bodyDiv w:val="1"/>
      <w:marLeft w:val="0"/>
      <w:marRight w:val="0"/>
      <w:marTop w:val="0"/>
      <w:marBottom w:val="0"/>
      <w:divBdr>
        <w:top w:val="none" w:sz="0" w:space="0" w:color="auto"/>
        <w:left w:val="none" w:sz="0" w:space="0" w:color="auto"/>
        <w:bottom w:val="none" w:sz="0" w:space="0" w:color="auto"/>
        <w:right w:val="none" w:sz="0" w:space="0" w:color="auto"/>
      </w:divBdr>
    </w:div>
    <w:div w:id="16008881">
      <w:bodyDiv w:val="1"/>
      <w:marLeft w:val="0"/>
      <w:marRight w:val="0"/>
      <w:marTop w:val="0"/>
      <w:marBottom w:val="0"/>
      <w:divBdr>
        <w:top w:val="none" w:sz="0" w:space="0" w:color="auto"/>
        <w:left w:val="none" w:sz="0" w:space="0" w:color="auto"/>
        <w:bottom w:val="none" w:sz="0" w:space="0" w:color="auto"/>
        <w:right w:val="none" w:sz="0" w:space="0" w:color="auto"/>
      </w:divBdr>
    </w:div>
    <w:div w:id="26102519">
      <w:bodyDiv w:val="1"/>
      <w:marLeft w:val="0"/>
      <w:marRight w:val="0"/>
      <w:marTop w:val="0"/>
      <w:marBottom w:val="0"/>
      <w:divBdr>
        <w:top w:val="none" w:sz="0" w:space="0" w:color="auto"/>
        <w:left w:val="none" w:sz="0" w:space="0" w:color="auto"/>
        <w:bottom w:val="none" w:sz="0" w:space="0" w:color="auto"/>
        <w:right w:val="none" w:sz="0" w:space="0" w:color="auto"/>
      </w:divBdr>
    </w:div>
    <w:div w:id="32585495">
      <w:bodyDiv w:val="1"/>
      <w:marLeft w:val="0"/>
      <w:marRight w:val="0"/>
      <w:marTop w:val="0"/>
      <w:marBottom w:val="0"/>
      <w:divBdr>
        <w:top w:val="none" w:sz="0" w:space="0" w:color="auto"/>
        <w:left w:val="none" w:sz="0" w:space="0" w:color="auto"/>
        <w:bottom w:val="none" w:sz="0" w:space="0" w:color="auto"/>
        <w:right w:val="none" w:sz="0" w:space="0" w:color="auto"/>
      </w:divBdr>
    </w:div>
    <w:div w:id="88476127">
      <w:bodyDiv w:val="1"/>
      <w:marLeft w:val="0"/>
      <w:marRight w:val="0"/>
      <w:marTop w:val="0"/>
      <w:marBottom w:val="0"/>
      <w:divBdr>
        <w:top w:val="none" w:sz="0" w:space="0" w:color="auto"/>
        <w:left w:val="none" w:sz="0" w:space="0" w:color="auto"/>
        <w:bottom w:val="none" w:sz="0" w:space="0" w:color="auto"/>
        <w:right w:val="none" w:sz="0" w:space="0" w:color="auto"/>
      </w:divBdr>
    </w:div>
    <w:div w:id="121005070">
      <w:bodyDiv w:val="1"/>
      <w:marLeft w:val="0"/>
      <w:marRight w:val="0"/>
      <w:marTop w:val="0"/>
      <w:marBottom w:val="0"/>
      <w:divBdr>
        <w:top w:val="none" w:sz="0" w:space="0" w:color="auto"/>
        <w:left w:val="none" w:sz="0" w:space="0" w:color="auto"/>
        <w:bottom w:val="none" w:sz="0" w:space="0" w:color="auto"/>
        <w:right w:val="none" w:sz="0" w:space="0" w:color="auto"/>
      </w:divBdr>
    </w:div>
    <w:div w:id="123277240">
      <w:bodyDiv w:val="1"/>
      <w:marLeft w:val="0"/>
      <w:marRight w:val="0"/>
      <w:marTop w:val="0"/>
      <w:marBottom w:val="0"/>
      <w:divBdr>
        <w:top w:val="none" w:sz="0" w:space="0" w:color="auto"/>
        <w:left w:val="none" w:sz="0" w:space="0" w:color="auto"/>
        <w:bottom w:val="none" w:sz="0" w:space="0" w:color="auto"/>
        <w:right w:val="none" w:sz="0" w:space="0" w:color="auto"/>
      </w:divBdr>
    </w:div>
    <w:div w:id="148257966">
      <w:bodyDiv w:val="1"/>
      <w:marLeft w:val="0"/>
      <w:marRight w:val="0"/>
      <w:marTop w:val="0"/>
      <w:marBottom w:val="0"/>
      <w:divBdr>
        <w:top w:val="none" w:sz="0" w:space="0" w:color="auto"/>
        <w:left w:val="none" w:sz="0" w:space="0" w:color="auto"/>
        <w:bottom w:val="none" w:sz="0" w:space="0" w:color="auto"/>
        <w:right w:val="none" w:sz="0" w:space="0" w:color="auto"/>
      </w:divBdr>
    </w:div>
    <w:div w:id="172309408">
      <w:bodyDiv w:val="1"/>
      <w:marLeft w:val="0"/>
      <w:marRight w:val="0"/>
      <w:marTop w:val="0"/>
      <w:marBottom w:val="0"/>
      <w:divBdr>
        <w:top w:val="none" w:sz="0" w:space="0" w:color="auto"/>
        <w:left w:val="none" w:sz="0" w:space="0" w:color="auto"/>
        <w:bottom w:val="none" w:sz="0" w:space="0" w:color="auto"/>
        <w:right w:val="none" w:sz="0" w:space="0" w:color="auto"/>
      </w:divBdr>
    </w:div>
    <w:div w:id="182327305">
      <w:bodyDiv w:val="1"/>
      <w:marLeft w:val="0"/>
      <w:marRight w:val="0"/>
      <w:marTop w:val="0"/>
      <w:marBottom w:val="0"/>
      <w:divBdr>
        <w:top w:val="none" w:sz="0" w:space="0" w:color="auto"/>
        <w:left w:val="none" w:sz="0" w:space="0" w:color="auto"/>
        <w:bottom w:val="none" w:sz="0" w:space="0" w:color="auto"/>
        <w:right w:val="none" w:sz="0" w:space="0" w:color="auto"/>
      </w:divBdr>
    </w:div>
    <w:div w:id="184634638">
      <w:bodyDiv w:val="1"/>
      <w:marLeft w:val="0"/>
      <w:marRight w:val="0"/>
      <w:marTop w:val="0"/>
      <w:marBottom w:val="0"/>
      <w:divBdr>
        <w:top w:val="none" w:sz="0" w:space="0" w:color="auto"/>
        <w:left w:val="none" w:sz="0" w:space="0" w:color="auto"/>
        <w:bottom w:val="none" w:sz="0" w:space="0" w:color="auto"/>
        <w:right w:val="none" w:sz="0" w:space="0" w:color="auto"/>
      </w:divBdr>
    </w:div>
    <w:div w:id="230621908">
      <w:bodyDiv w:val="1"/>
      <w:marLeft w:val="0"/>
      <w:marRight w:val="0"/>
      <w:marTop w:val="0"/>
      <w:marBottom w:val="0"/>
      <w:divBdr>
        <w:top w:val="none" w:sz="0" w:space="0" w:color="auto"/>
        <w:left w:val="none" w:sz="0" w:space="0" w:color="auto"/>
        <w:bottom w:val="none" w:sz="0" w:space="0" w:color="auto"/>
        <w:right w:val="none" w:sz="0" w:space="0" w:color="auto"/>
      </w:divBdr>
    </w:div>
    <w:div w:id="233588997">
      <w:bodyDiv w:val="1"/>
      <w:marLeft w:val="0"/>
      <w:marRight w:val="0"/>
      <w:marTop w:val="0"/>
      <w:marBottom w:val="0"/>
      <w:divBdr>
        <w:top w:val="none" w:sz="0" w:space="0" w:color="auto"/>
        <w:left w:val="none" w:sz="0" w:space="0" w:color="auto"/>
        <w:bottom w:val="none" w:sz="0" w:space="0" w:color="auto"/>
        <w:right w:val="none" w:sz="0" w:space="0" w:color="auto"/>
      </w:divBdr>
    </w:div>
    <w:div w:id="330525033">
      <w:bodyDiv w:val="1"/>
      <w:marLeft w:val="0"/>
      <w:marRight w:val="0"/>
      <w:marTop w:val="0"/>
      <w:marBottom w:val="0"/>
      <w:divBdr>
        <w:top w:val="none" w:sz="0" w:space="0" w:color="auto"/>
        <w:left w:val="none" w:sz="0" w:space="0" w:color="auto"/>
        <w:bottom w:val="none" w:sz="0" w:space="0" w:color="auto"/>
        <w:right w:val="none" w:sz="0" w:space="0" w:color="auto"/>
      </w:divBdr>
    </w:div>
    <w:div w:id="353460657">
      <w:bodyDiv w:val="1"/>
      <w:marLeft w:val="0"/>
      <w:marRight w:val="0"/>
      <w:marTop w:val="0"/>
      <w:marBottom w:val="0"/>
      <w:divBdr>
        <w:top w:val="none" w:sz="0" w:space="0" w:color="auto"/>
        <w:left w:val="none" w:sz="0" w:space="0" w:color="auto"/>
        <w:bottom w:val="none" w:sz="0" w:space="0" w:color="auto"/>
        <w:right w:val="none" w:sz="0" w:space="0" w:color="auto"/>
      </w:divBdr>
    </w:div>
    <w:div w:id="364254870">
      <w:bodyDiv w:val="1"/>
      <w:marLeft w:val="0"/>
      <w:marRight w:val="0"/>
      <w:marTop w:val="0"/>
      <w:marBottom w:val="0"/>
      <w:divBdr>
        <w:top w:val="none" w:sz="0" w:space="0" w:color="auto"/>
        <w:left w:val="none" w:sz="0" w:space="0" w:color="auto"/>
        <w:bottom w:val="none" w:sz="0" w:space="0" w:color="auto"/>
        <w:right w:val="none" w:sz="0" w:space="0" w:color="auto"/>
      </w:divBdr>
    </w:div>
    <w:div w:id="409960242">
      <w:bodyDiv w:val="1"/>
      <w:marLeft w:val="0"/>
      <w:marRight w:val="0"/>
      <w:marTop w:val="0"/>
      <w:marBottom w:val="0"/>
      <w:divBdr>
        <w:top w:val="none" w:sz="0" w:space="0" w:color="auto"/>
        <w:left w:val="none" w:sz="0" w:space="0" w:color="auto"/>
        <w:bottom w:val="none" w:sz="0" w:space="0" w:color="auto"/>
        <w:right w:val="none" w:sz="0" w:space="0" w:color="auto"/>
      </w:divBdr>
    </w:div>
    <w:div w:id="421416477">
      <w:bodyDiv w:val="1"/>
      <w:marLeft w:val="0"/>
      <w:marRight w:val="0"/>
      <w:marTop w:val="0"/>
      <w:marBottom w:val="0"/>
      <w:divBdr>
        <w:top w:val="none" w:sz="0" w:space="0" w:color="auto"/>
        <w:left w:val="none" w:sz="0" w:space="0" w:color="auto"/>
        <w:bottom w:val="none" w:sz="0" w:space="0" w:color="auto"/>
        <w:right w:val="none" w:sz="0" w:space="0" w:color="auto"/>
      </w:divBdr>
    </w:div>
    <w:div w:id="492333962">
      <w:bodyDiv w:val="1"/>
      <w:marLeft w:val="0"/>
      <w:marRight w:val="0"/>
      <w:marTop w:val="0"/>
      <w:marBottom w:val="0"/>
      <w:divBdr>
        <w:top w:val="none" w:sz="0" w:space="0" w:color="auto"/>
        <w:left w:val="none" w:sz="0" w:space="0" w:color="auto"/>
        <w:bottom w:val="none" w:sz="0" w:space="0" w:color="auto"/>
        <w:right w:val="none" w:sz="0" w:space="0" w:color="auto"/>
      </w:divBdr>
    </w:div>
    <w:div w:id="497770937">
      <w:bodyDiv w:val="1"/>
      <w:marLeft w:val="0"/>
      <w:marRight w:val="0"/>
      <w:marTop w:val="0"/>
      <w:marBottom w:val="0"/>
      <w:divBdr>
        <w:top w:val="none" w:sz="0" w:space="0" w:color="auto"/>
        <w:left w:val="none" w:sz="0" w:space="0" w:color="auto"/>
        <w:bottom w:val="none" w:sz="0" w:space="0" w:color="auto"/>
        <w:right w:val="none" w:sz="0" w:space="0" w:color="auto"/>
      </w:divBdr>
    </w:div>
    <w:div w:id="527716226">
      <w:bodyDiv w:val="1"/>
      <w:marLeft w:val="0"/>
      <w:marRight w:val="0"/>
      <w:marTop w:val="0"/>
      <w:marBottom w:val="0"/>
      <w:divBdr>
        <w:top w:val="none" w:sz="0" w:space="0" w:color="auto"/>
        <w:left w:val="none" w:sz="0" w:space="0" w:color="auto"/>
        <w:bottom w:val="none" w:sz="0" w:space="0" w:color="auto"/>
        <w:right w:val="none" w:sz="0" w:space="0" w:color="auto"/>
      </w:divBdr>
    </w:div>
    <w:div w:id="596133467">
      <w:bodyDiv w:val="1"/>
      <w:marLeft w:val="0"/>
      <w:marRight w:val="0"/>
      <w:marTop w:val="0"/>
      <w:marBottom w:val="0"/>
      <w:divBdr>
        <w:top w:val="none" w:sz="0" w:space="0" w:color="auto"/>
        <w:left w:val="none" w:sz="0" w:space="0" w:color="auto"/>
        <w:bottom w:val="none" w:sz="0" w:space="0" w:color="auto"/>
        <w:right w:val="none" w:sz="0" w:space="0" w:color="auto"/>
      </w:divBdr>
    </w:div>
    <w:div w:id="633484134">
      <w:bodyDiv w:val="1"/>
      <w:marLeft w:val="0"/>
      <w:marRight w:val="0"/>
      <w:marTop w:val="0"/>
      <w:marBottom w:val="0"/>
      <w:divBdr>
        <w:top w:val="none" w:sz="0" w:space="0" w:color="auto"/>
        <w:left w:val="none" w:sz="0" w:space="0" w:color="auto"/>
        <w:bottom w:val="none" w:sz="0" w:space="0" w:color="auto"/>
        <w:right w:val="none" w:sz="0" w:space="0" w:color="auto"/>
      </w:divBdr>
    </w:div>
    <w:div w:id="639306448">
      <w:bodyDiv w:val="1"/>
      <w:marLeft w:val="0"/>
      <w:marRight w:val="0"/>
      <w:marTop w:val="0"/>
      <w:marBottom w:val="0"/>
      <w:divBdr>
        <w:top w:val="none" w:sz="0" w:space="0" w:color="auto"/>
        <w:left w:val="none" w:sz="0" w:space="0" w:color="auto"/>
        <w:bottom w:val="none" w:sz="0" w:space="0" w:color="auto"/>
        <w:right w:val="none" w:sz="0" w:space="0" w:color="auto"/>
      </w:divBdr>
    </w:div>
    <w:div w:id="777213467">
      <w:bodyDiv w:val="1"/>
      <w:marLeft w:val="0"/>
      <w:marRight w:val="0"/>
      <w:marTop w:val="0"/>
      <w:marBottom w:val="0"/>
      <w:divBdr>
        <w:top w:val="none" w:sz="0" w:space="0" w:color="auto"/>
        <w:left w:val="none" w:sz="0" w:space="0" w:color="auto"/>
        <w:bottom w:val="none" w:sz="0" w:space="0" w:color="auto"/>
        <w:right w:val="none" w:sz="0" w:space="0" w:color="auto"/>
      </w:divBdr>
    </w:div>
    <w:div w:id="789710035">
      <w:bodyDiv w:val="1"/>
      <w:marLeft w:val="0"/>
      <w:marRight w:val="0"/>
      <w:marTop w:val="0"/>
      <w:marBottom w:val="0"/>
      <w:divBdr>
        <w:top w:val="none" w:sz="0" w:space="0" w:color="auto"/>
        <w:left w:val="none" w:sz="0" w:space="0" w:color="auto"/>
        <w:bottom w:val="none" w:sz="0" w:space="0" w:color="auto"/>
        <w:right w:val="none" w:sz="0" w:space="0" w:color="auto"/>
      </w:divBdr>
    </w:div>
    <w:div w:id="821656369">
      <w:bodyDiv w:val="1"/>
      <w:marLeft w:val="0"/>
      <w:marRight w:val="0"/>
      <w:marTop w:val="0"/>
      <w:marBottom w:val="0"/>
      <w:divBdr>
        <w:top w:val="none" w:sz="0" w:space="0" w:color="auto"/>
        <w:left w:val="none" w:sz="0" w:space="0" w:color="auto"/>
        <w:bottom w:val="none" w:sz="0" w:space="0" w:color="auto"/>
        <w:right w:val="none" w:sz="0" w:space="0" w:color="auto"/>
      </w:divBdr>
    </w:div>
    <w:div w:id="834151172">
      <w:bodyDiv w:val="1"/>
      <w:marLeft w:val="0"/>
      <w:marRight w:val="0"/>
      <w:marTop w:val="0"/>
      <w:marBottom w:val="0"/>
      <w:divBdr>
        <w:top w:val="none" w:sz="0" w:space="0" w:color="auto"/>
        <w:left w:val="none" w:sz="0" w:space="0" w:color="auto"/>
        <w:bottom w:val="none" w:sz="0" w:space="0" w:color="auto"/>
        <w:right w:val="none" w:sz="0" w:space="0" w:color="auto"/>
      </w:divBdr>
    </w:div>
    <w:div w:id="837380186">
      <w:bodyDiv w:val="1"/>
      <w:marLeft w:val="0"/>
      <w:marRight w:val="0"/>
      <w:marTop w:val="0"/>
      <w:marBottom w:val="0"/>
      <w:divBdr>
        <w:top w:val="none" w:sz="0" w:space="0" w:color="auto"/>
        <w:left w:val="none" w:sz="0" w:space="0" w:color="auto"/>
        <w:bottom w:val="none" w:sz="0" w:space="0" w:color="auto"/>
        <w:right w:val="none" w:sz="0" w:space="0" w:color="auto"/>
      </w:divBdr>
    </w:div>
    <w:div w:id="846332875">
      <w:bodyDiv w:val="1"/>
      <w:marLeft w:val="0"/>
      <w:marRight w:val="0"/>
      <w:marTop w:val="0"/>
      <w:marBottom w:val="0"/>
      <w:divBdr>
        <w:top w:val="none" w:sz="0" w:space="0" w:color="auto"/>
        <w:left w:val="none" w:sz="0" w:space="0" w:color="auto"/>
        <w:bottom w:val="none" w:sz="0" w:space="0" w:color="auto"/>
        <w:right w:val="none" w:sz="0" w:space="0" w:color="auto"/>
      </w:divBdr>
    </w:div>
    <w:div w:id="868374932">
      <w:bodyDiv w:val="1"/>
      <w:marLeft w:val="0"/>
      <w:marRight w:val="0"/>
      <w:marTop w:val="0"/>
      <w:marBottom w:val="0"/>
      <w:divBdr>
        <w:top w:val="none" w:sz="0" w:space="0" w:color="auto"/>
        <w:left w:val="none" w:sz="0" w:space="0" w:color="auto"/>
        <w:bottom w:val="none" w:sz="0" w:space="0" w:color="auto"/>
        <w:right w:val="none" w:sz="0" w:space="0" w:color="auto"/>
      </w:divBdr>
    </w:div>
    <w:div w:id="881595965">
      <w:bodyDiv w:val="1"/>
      <w:marLeft w:val="0"/>
      <w:marRight w:val="0"/>
      <w:marTop w:val="0"/>
      <w:marBottom w:val="0"/>
      <w:divBdr>
        <w:top w:val="none" w:sz="0" w:space="0" w:color="auto"/>
        <w:left w:val="none" w:sz="0" w:space="0" w:color="auto"/>
        <w:bottom w:val="none" w:sz="0" w:space="0" w:color="auto"/>
        <w:right w:val="none" w:sz="0" w:space="0" w:color="auto"/>
      </w:divBdr>
    </w:div>
    <w:div w:id="901018980">
      <w:bodyDiv w:val="1"/>
      <w:marLeft w:val="0"/>
      <w:marRight w:val="0"/>
      <w:marTop w:val="0"/>
      <w:marBottom w:val="0"/>
      <w:divBdr>
        <w:top w:val="none" w:sz="0" w:space="0" w:color="auto"/>
        <w:left w:val="none" w:sz="0" w:space="0" w:color="auto"/>
        <w:bottom w:val="none" w:sz="0" w:space="0" w:color="auto"/>
        <w:right w:val="none" w:sz="0" w:space="0" w:color="auto"/>
      </w:divBdr>
    </w:div>
    <w:div w:id="965505547">
      <w:bodyDiv w:val="1"/>
      <w:marLeft w:val="0"/>
      <w:marRight w:val="0"/>
      <w:marTop w:val="0"/>
      <w:marBottom w:val="0"/>
      <w:divBdr>
        <w:top w:val="none" w:sz="0" w:space="0" w:color="auto"/>
        <w:left w:val="none" w:sz="0" w:space="0" w:color="auto"/>
        <w:bottom w:val="none" w:sz="0" w:space="0" w:color="auto"/>
        <w:right w:val="none" w:sz="0" w:space="0" w:color="auto"/>
      </w:divBdr>
    </w:div>
    <w:div w:id="997223304">
      <w:bodyDiv w:val="1"/>
      <w:marLeft w:val="0"/>
      <w:marRight w:val="0"/>
      <w:marTop w:val="0"/>
      <w:marBottom w:val="0"/>
      <w:divBdr>
        <w:top w:val="none" w:sz="0" w:space="0" w:color="auto"/>
        <w:left w:val="none" w:sz="0" w:space="0" w:color="auto"/>
        <w:bottom w:val="none" w:sz="0" w:space="0" w:color="auto"/>
        <w:right w:val="none" w:sz="0" w:space="0" w:color="auto"/>
      </w:divBdr>
    </w:div>
    <w:div w:id="1021323127">
      <w:bodyDiv w:val="1"/>
      <w:marLeft w:val="0"/>
      <w:marRight w:val="0"/>
      <w:marTop w:val="0"/>
      <w:marBottom w:val="0"/>
      <w:divBdr>
        <w:top w:val="none" w:sz="0" w:space="0" w:color="auto"/>
        <w:left w:val="none" w:sz="0" w:space="0" w:color="auto"/>
        <w:bottom w:val="none" w:sz="0" w:space="0" w:color="auto"/>
        <w:right w:val="none" w:sz="0" w:space="0" w:color="auto"/>
      </w:divBdr>
    </w:div>
    <w:div w:id="1037924233">
      <w:bodyDiv w:val="1"/>
      <w:marLeft w:val="0"/>
      <w:marRight w:val="0"/>
      <w:marTop w:val="0"/>
      <w:marBottom w:val="0"/>
      <w:divBdr>
        <w:top w:val="none" w:sz="0" w:space="0" w:color="auto"/>
        <w:left w:val="none" w:sz="0" w:space="0" w:color="auto"/>
        <w:bottom w:val="none" w:sz="0" w:space="0" w:color="auto"/>
        <w:right w:val="none" w:sz="0" w:space="0" w:color="auto"/>
      </w:divBdr>
    </w:div>
    <w:div w:id="1043286047">
      <w:bodyDiv w:val="1"/>
      <w:marLeft w:val="0"/>
      <w:marRight w:val="0"/>
      <w:marTop w:val="0"/>
      <w:marBottom w:val="0"/>
      <w:divBdr>
        <w:top w:val="none" w:sz="0" w:space="0" w:color="auto"/>
        <w:left w:val="none" w:sz="0" w:space="0" w:color="auto"/>
        <w:bottom w:val="none" w:sz="0" w:space="0" w:color="auto"/>
        <w:right w:val="none" w:sz="0" w:space="0" w:color="auto"/>
      </w:divBdr>
    </w:div>
    <w:div w:id="1118256409">
      <w:bodyDiv w:val="1"/>
      <w:marLeft w:val="0"/>
      <w:marRight w:val="0"/>
      <w:marTop w:val="0"/>
      <w:marBottom w:val="0"/>
      <w:divBdr>
        <w:top w:val="none" w:sz="0" w:space="0" w:color="auto"/>
        <w:left w:val="none" w:sz="0" w:space="0" w:color="auto"/>
        <w:bottom w:val="none" w:sz="0" w:space="0" w:color="auto"/>
        <w:right w:val="none" w:sz="0" w:space="0" w:color="auto"/>
      </w:divBdr>
    </w:div>
    <w:div w:id="1169826751">
      <w:bodyDiv w:val="1"/>
      <w:marLeft w:val="0"/>
      <w:marRight w:val="0"/>
      <w:marTop w:val="0"/>
      <w:marBottom w:val="0"/>
      <w:divBdr>
        <w:top w:val="none" w:sz="0" w:space="0" w:color="auto"/>
        <w:left w:val="none" w:sz="0" w:space="0" w:color="auto"/>
        <w:bottom w:val="none" w:sz="0" w:space="0" w:color="auto"/>
        <w:right w:val="none" w:sz="0" w:space="0" w:color="auto"/>
      </w:divBdr>
    </w:div>
    <w:div w:id="1262881988">
      <w:bodyDiv w:val="1"/>
      <w:marLeft w:val="0"/>
      <w:marRight w:val="0"/>
      <w:marTop w:val="0"/>
      <w:marBottom w:val="0"/>
      <w:divBdr>
        <w:top w:val="none" w:sz="0" w:space="0" w:color="auto"/>
        <w:left w:val="none" w:sz="0" w:space="0" w:color="auto"/>
        <w:bottom w:val="none" w:sz="0" w:space="0" w:color="auto"/>
        <w:right w:val="none" w:sz="0" w:space="0" w:color="auto"/>
      </w:divBdr>
    </w:div>
    <w:div w:id="1288970989">
      <w:bodyDiv w:val="1"/>
      <w:marLeft w:val="0"/>
      <w:marRight w:val="0"/>
      <w:marTop w:val="0"/>
      <w:marBottom w:val="0"/>
      <w:divBdr>
        <w:top w:val="none" w:sz="0" w:space="0" w:color="auto"/>
        <w:left w:val="none" w:sz="0" w:space="0" w:color="auto"/>
        <w:bottom w:val="none" w:sz="0" w:space="0" w:color="auto"/>
        <w:right w:val="none" w:sz="0" w:space="0" w:color="auto"/>
      </w:divBdr>
    </w:div>
    <w:div w:id="1291522380">
      <w:bodyDiv w:val="1"/>
      <w:marLeft w:val="0"/>
      <w:marRight w:val="0"/>
      <w:marTop w:val="0"/>
      <w:marBottom w:val="0"/>
      <w:divBdr>
        <w:top w:val="none" w:sz="0" w:space="0" w:color="auto"/>
        <w:left w:val="none" w:sz="0" w:space="0" w:color="auto"/>
        <w:bottom w:val="none" w:sz="0" w:space="0" w:color="auto"/>
        <w:right w:val="none" w:sz="0" w:space="0" w:color="auto"/>
      </w:divBdr>
    </w:div>
    <w:div w:id="1298805755">
      <w:bodyDiv w:val="1"/>
      <w:marLeft w:val="0"/>
      <w:marRight w:val="0"/>
      <w:marTop w:val="0"/>
      <w:marBottom w:val="0"/>
      <w:divBdr>
        <w:top w:val="none" w:sz="0" w:space="0" w:color="auto"/>
        <w:left w:val="none" w:sz="0" w:space="0" w:color="auto"/>
        <w:bottom w:val="none" w:sz="0" w:space="0" w:color="auto"/>
        <w:right w:val="none" w:sz="0" w:space="0" w:color="auto"/>
      </w:divBdr>
    </w:div>
    <w:div w:id="1328554577">
      <w:bodyDiv w:val="1"/>
      <w:marLeft w:val="0"/>
      <w:marRight w:val="0"/>
      <w:marTop w:val="0"/>
      <w:marBottom w:val="0"/>
      <w:divBdr>
        <w:top w:val="none" w:sz="0" w:space="0" w:color="auto"/>
        <w:left w:val="none" w:sz="0" w:space="0" w:color="auto"/>
        <w:bottom w:val="none" w:sz="0" w:space="0" w:color="auto"/>
        <w:right w:val="none" w:sz="0" w:space="0" w:color="auto"/>
      </w:divBdr>
    </w:div>
    <w:div w:id="1332176918">
      <w:bodyDiv w:val="1"/>
      <w:marLeft w:val="0"/>
      <w:marRight w:val="0"/>
      <w:marTop w:val="0"/>
      <w:marBottom w:val="0"/>
      <w:divBdr>
        <w:top w:val="none" w:sz="0" w:space="0" w:color="auto"/>
        <w:left w:val="none" w:sz="0" w:space="0" w:color="auto"/>
        <w:bottom w:val="none" w:sz="0" w:space="0" w:color="auto"/>
        <w:right w:val="none" w:sz="0" w:space="0" w:color="auto"/>
      </w:divBdr>
    </w:div>
    <w:div w:id="1347752552">
      <w:bodyDiv w:val="1"/>
      <w:marLeft w:val="0"/>
      <w:marRight w:val="0"/>
      <w:marTop w:val="0"/>
      <w:marBottom w:val="0"/>
      <w:divBdr>
        <w:top w:val="none" w:sz="0" w:space="0" w:color="auto"/>
        <w:left w:val="none" w:sz="0" w:space="0" w:color="auto"/>
        <w:bottom w:val="none" w:sz="0" w:space="0" w:color="auto"/>
        <w:right w:val="none" w:sz="0" w:space="0" w:color="auto"/>
      </w:divBdr>
    </w:div>
    <w:div w:id="1357853683">
      <w:bodyDiv w:val="1"/>
      <w:marLeft w:val="0"/>
      <w:marRight w:val="0"/>
      <w:marTop w:val="0"/>
      <w:marBottom w:val="0"/>
      <w:divBdr>
        <w:top w:val="none" w:sz="0" w:space="0" w:color="auto"/>
        <w:left w:val="none" w:sz="0" w:space="0" w:color="auto"/>
        <w:bottom w:val="none" w:sz="0" w:space="0" w:color="auto"/>
        <w:right w:val="none" w:sz="0" w:space="0" w:color="auto"/>
      </w:divBdr>
    </w:div>
    <w:div w:id="1360085507">
      <w:bodyDiv w:val="1"/>
      <w:marLeft w:val="0"/>
      <w:marRight w:val="0"/>
      <w:marTop w:val="0"/>
      <w:marBottom w:val="0"/>
      <w:divBdr>
        <w:top w:val="none" w:sz="0" w:space="0" w:color="auto"/>
        <w:left w:val="none" w:sz="0" w:space="0" w:color="auto"/>
        <w:bottom w:val="none" w:sz="0" w:space="0" w:color="auto"/>
        <w:right w:val="none" w:sz="0" w:space="0" w:color="auto"/>
      </w:divBdr>
    </w:div>
    <w:div w:id="1416585572">
      <w:bodyDiv w:val="1"/>
      <w:marLeft w:val="0"/>
      <w:marRight w:val="0"/>
      <w:marTop w:val="0"/>
      <w:marBottom w:val="0"/>
      <w:divBdr>
        <w:top w:val="none" w:sz="0" w:space="0" w:color="auto"/>
        <w:left w:val="none" w:sz="0" w:space="0" w:color="auto"/>
        <w:bottom w:val="none" w:sz="0" w:space="0" w:color="auto"/>
        <w:right w:val="none" w:sz="0" w:space="0" w:color="auto"/>
      </w:divBdr>
    </w:div>
    <w:div w:id="1477187725">
      <w:bodyDiv w:val="1"/>
      <w:marLeft w:val="0"/>
      <w:marRight w:val="0"/>
      <w:marTop w:val="0"/>
      <w:marBottom w:val="0"/>
      <w:divBdr>
        <w:top w:val="none" w:sz="0" w:space="0" w:color="auto"/>
        <w:left w:val="none" w:sz="0" w:space="0" w:color="auto"/>
        <w:bottom w:val="none" w:sz="0" w:space="0" w:color="auto"/>
        <w:right w:val="none" w:sz="0" w:space="0" w:color="auto"/>
      </w:divBdr>
    </w:div>
    <w:div w:id="1516307190">
      <w:bodyDiv w:val="1"/>
      <w:marLeft w:val="0"/>
      <w:marRight w:val="0"/>
      <w:marTop w:val="0"/>
      <w:marBottom w:val="0"/>
      <w:divBdr>
        <w:top w:val="none" w:sz="0" w:space="0" w:color="auto"/>
        <w:left w:val="none" w:sz="0" w:space="0" w:color="auto"/>
        <w:bottom w:val="none" w:sz="0" w:space="0" w:color="auto"/>
        <w:right w:val="none" w:sz="0" w:space="0" w:color="auto"/>
      </w:divBdr>
    </w:div>
    <w:div w:id="1545633668">
      <w:bodyDiv w:val="1"/>
      <w:marLeft w:val="0"/>
      <w:marRight w:val="0"/>
      <w:marTop w:val="0"/>
      <w:marBottom w:val="0"/>
      <w:divBdr>
        <w:top w:val="none" w:sz="0" w:space="0" w:color="auto"/>
        <w:left w:val="none" w:sz="0" w:space="0" w:color="auto"/>
        <w:bottom w:val="none" w:sz="0" w:space="0" w:color="auto"/>
        <w:right w:val="none" w:sz="0" w:space="0" w:color="auto"/>
      </w:divBdr>
    </w:div>
    <w:div w:id="1567179230">
      <w:bodyDiv w:val="1"/>
      <w:marLeft w:val="0"/>
      <w:marRight w:val="0"/>
      <w:marTop w:val="0"/>
      <w:marBottom w:val="0"/>
      <w:divBdr>
        <w:top w:val="none" w:sz="0" w:space="0" w:color="auto"/>
        <w:left w:val="none" w:sz="0" w:space="0" w:color="auto"/>
        <w:bottom w:val="none" w:sz="0" w:space="0" w:color="auto"/>
        <w:right w:val="none" w:sz="0" w:space="0" w:color="auto"/>
      </w:divBdr>
    </w:div>
    <w:div w:id="1575118906">
      <w:bodyDiv w:val="1"/>
      <w:marLeft w:val="0"/>
      <w:marRight w:val="0"/>
      <w:marTop w:val="0"/>
      <w:marBottom w:val="0"/>
      <w:divBdr>
        <w:top w:val="none" w:sz="0" w:space="0" w:color="auto"/>
        <w:left w:val="none" w:sz="0" w:space="0" w:color="auto"/>
        <w:bottom w:val="none" w:sz="0" w:space="0" w:color="auto"/>
        <w:right w:val="none" w:sz="0" w:space="0" w:color="auto"/>
      </w:divBdr>
    </w:div>
    <w:div w:id="1612086713">
      <w:bodyDiv w:val="1"/>
      <w:marLeft w:val="0"/>
      <w:marRight w:val="0"/>
      <w:marTop w:val="0"/>
      <w:marBottom w:val="0"/>
      <w:divBdr>
        <w:top w:val="none" w:sz="0" w:space="0" w:color="auto"/>
        <w:left w:val="none" w:sz="0" w:space="0" w:color="auto"/>
        <w:bottom w:val="none" w:sz="0" w:space="0" w:color="auto"/>
        <w:right w:val="none" w:sz="0" w:space="0" w:color="auto"/>
      </w:divBdr>
    </w:div>
    <w:div w:id="1663580932">
      <w:bodyDiv w:val="1"/>
      <w:marLeft w:val="0"/>
      <w:marRight w:val="0"/>
      <w:marTop w:val="0"/>
      <w:marBottom w:val="0"/>
      <w:divBdr>
        <w:top w:val="none" w:sz="0" w:space="0" w:color="auto"/>
        <w:left w:val="none" w:sz="0" w:space="0" w:color="auto"/>
        <w:bottom w:val="none" w:sz="0" w:space="0" w:color="auto"/>
        <w:right w:val="none" w:sz="0" w:space="0" w:color="auto"/>
      </w:divBdr>
    </w:div>
    <w:div w:id="1692760124">
      <w:bodyDiv w:val="1"/>
      <w:marLeft w:val="0"/>
      <w:marRight w:val="0"/>
      <w:marTop w:val="0"/>
      <w:marBottom w:val="0"/>
      <w:divBdr>
        <w:top w:val="none" w:sz="0" w:space="0" w:color="auto"/>
        <w:left w:val="none" w:sz="0" w:space="0" w:color="auto"/>
        <w:bottom w:val="none" w:sz="0" w:space="0" w:color="auto"/>
        <w:right w:val="none" w:sz="0" w:space="0" w:color="auto"/>
      </w:divBdr>
    </w:div>
    <w:div w:id="1729835635">
      <w:bodyDiv w:val="1"/>
      <w:marLeft w:val="0"/>
      <w:marRight w:val="0"/>
      <w:marTop w:val="0"/>
      <w:marBottom w:val="0"/>
      <w:divBdr>
        <w:top w:val="none" w:sz="0" w:space="0" w:color="auto"/>
        <w:left w:val="none" w:sz="0" w:space="0" w:color="auto"/>
        <w:bottom w:val="none" w:sz="0" w:space="0" w:color="auto"/>
        <w:right w:val="none" w:sz="0" w:space="0" w:color="auto"/>
      </w:divBdr>
    </w:div>
    <w:div w:id="1743332089">
      <w:bodyDiv w:val="1"/>
      <w:marLeft w:val="0"/>
      <w:marRight w:val="0"/>
      <w:marTop w:val="0"/>
      <w:marBottom w:val="0"/>
      <w:divBdr>
        <w:top w:val="none" w:sz="0" w:space="0" w:color="auto"/>
        <w:left w:val="none" w:sz="0" w:space="0" w:color="auto"/>
        <w:bottom w:val="none" w:sz="0" w:space="0" w:color="auto"/>
        <w:right w:val="none" w:sz="0" w:space="0" w:color="auto"/>
      </w:divBdr>
    </w:div>
    <w:div w:id="1777603755">
      <w:bodyDiv w:val="1"/>
      <w:marLeft w:val="0"/>
      <w:marRight w:val="0"/>
      <w:marTop w:val="0"/>
      <w:marBottom w:val="0"/>
      <w:divBdr>
        <w:top w:val="none" w:sz="0" w:space="0" w:color="auto"/>
        <w:left w:val="none" w:sz="0" w:space="0" w:color="auto"/>
        <w:bottom w:val="none" w:sz="0" w:space="0" w:color="auto"/>
        <w:right w:val="none" w:sz="0" w:space="0" w:color="auto"/>
      </w:divBdr>
    </w:div>
    <w:div w:id="1859659931">
      <w:bodyDiv w:val="1"/>
      <w:marLeft w:val="0"/>
      <w:marRight w:val="0"/>
      <w:marTop w:val="0"/>
      <w:marBottom w:val="0"/>
      <w:divBdr>
        <w:top w:val="none" w:sz="0" w:space="0" w:color="auto"/>
        <w:left w:val="none" w:sz="0" w:space="0" w:color="auto"/>
        <w:bottom w:val="none" w:sz="0" w:space="0" w:color="auto"/>
        <w:right w:val="none" w:sz="0" w:space="0" w:color="auto"/>
      </w:divBdr>
    </w:div>
    <w:div w:id="1883519513">
      <w:bodyDiv w:val="1"/>
      <w:marLeft w:val="0"/>
      <w:marRight w:val="0"/>
      <w:marTop w:val="0"/>
      <w:marBottom w:val="0"/>
      <w:divBdr>
        <w:top w:val="none" w:sz="0" w:space="0" w:color="auto"/>
        <w:left w:val="none" w:sz="0" w:space="0" w:color="auto"/>
        <w:bottom w:val="none" w:sz="0" w:space="0" w:color="auto"/>
        <w:right w:val="none" w:sz="0" w:space="0" w:color="auto"/>
      </w:divBdr>
    </w:div>
    <w:div w:id="2021539112">
      <w:bodyDiv w:val="1"/>
      <w:marLeft w:val="0"/>
      <w:marRight w:val="0"/>
      <w:marTop w:val="0"/>
      <w:marBottom w:val="0"/>
      <w:divBdr>
        <w:top w:val="none" w:sz="0" w:space="0" w:color="auto"/>
        <w:left w:val="none" w:sz="0" w:space="0" w:color="auto"/>
        <w:bottom w:val="none" w:sz="0" w:space="0" w:color="auto"/>
        <w:right w:val="none" w:sz="0" w:space="0" w:color="auto"/>
      </w:divBdr>
    </w:div>
    <w:div w:id="2026589208">
      <w:bodyDiv w:val="1"/>
      <w:marLeft w:val="0"/>
      <w:marRight w:val="0"/>
      <w:marTop w:val="0"/>
      <w:marBottom w:val="0"/>
      <w:divBdr>
        <w:top w:val="none" w:sz="0" w:space="0" w:color="auto"/>
        <w:left w:val="none" w:sz="0" w:space="0" w:color="auto"/>
        <w:bottom w:val="none" w:sz="0" w:space="0" w:color="auto"/>
        <w:right w:val="none" w:sz="0" w:space="0" w:color="auto"/>
      </w:divBdr>
    </w:div>
    <w:div w:id="2030326055">
      <w:bodyDiv w:val="1"/>
      <w:marLeft w:val="0"/>
      <w:marRight w:val="0"/>
      <w:marTop w:val="0"/>
      <w:marBottom w:val="0"/>
      <w:divBdr>
        <w:top w:val="none" w:sz="0" w:space="0" w:color="auto"/>
        <w:left w:val="none" w:sz="0" w:space="0" w:color="auto"/>
        <w:bottom w:val="none" w:sz="0" w:space="0" w:color="auto"/>
        <w:right w:val="none" w:sz="0" w:space="0" w:color="auto"/>
      </w:divBdr>
    </w:div>
    <w:div w:id="2059012402">
      <w:bodyDiv w:val="1"/>
      <w:marLeft w:val="0"/>
      <w:marRight w:val="0"/>
      <w:marTop w:val="0"/>
      <w:marBottom w:val="0"/>
      <w:divBdr>
        <w:top w:val="none" w:sz="0" w:space="0" w:color="auto"/>
        <w:left w:val="none" w:sz="0" w:space="0" w:color="auto"/>
        <w:bottom w:val="none" w:sz="0" w:space="0" w:color="auto"/>
        <w:right w:val="none" w:sz="0" w:space="0" w:color="auto"/>
      </w:divBdr>
    </w:div>
    <w:div w:id="2131510466">
      <w:bodyDiv w:val="1"/>
      <w:marLeft w:val="0"/>
      <w:marRight w:val="0"/>
      <w:marTop w:val="0"/>
      <w:marBottom w:val="0"/>
      <w:divBdr>
        <w:top w:val="none" w:sz="0" w:space="0" w:color="auto"/>
        <w:left w:val="none" w:sz="0" w:space="0" w:color="auto"/>
        <w:bottom w:val="none" w:sz="0" w:space="0" w:color="auto"/>
        <w:right w:val="none" w:sz="0" w:space="0" w:color="auto"/>
      </w:divBdr>
    </w:div>
    <w:div w:id="2138253721">
      <w:bodyDiv w:val="1"/>
      <w:marLeft w:val="0"/>
      <w:marRight w:val="0"/>
      <w:marTop w:val="0"/>
      <w:marBottom w:val="0"/>
      <w:divBdr>
        <w:top w:val="none" w:sz="0" w:space="0" w:color="auto"/>
        <w:left w:val="none" w:sz="0" w:space="0" w:color="auto"/>
        <w:bottom w:val="none" w:sz="0" w:space="0" w:color="auto"/>
        <w:right w:val="none" w:sz="0" w:space="0" w:color="auto"/>
      </w:divBdr>
    </w:div>
    <w:div w:id="21400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esktop\Mod&#232;le%20AIESH%20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[Résmé]</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9CA6A8-040D-4363-A1A6-34005B8EF55B}">
  <ds:schemaRefs>
    <ds:schemaRef ds:uri="http://schemas.microsoft.com/sharepoint/v3/contenttype/forms"/>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033D9C78-8BE9-4420-8FD6-9627FD5B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AIESH 2</Template>
  <TotalTime>22</TotalTime>
  <Pages>1</Pages>
  <Words>7273</Words>
  <Characters>40004</Characters>
  <Application>Microsoft Office Word</Application>
  <DocSecurity>0</DocSecurity>
  <Lines>333</Lines>
  <Paragraphs>94</Paragraphs>
  <ScaleCrop>false</ScaleCrop>
  <HeadingPairs>
    <vt:vector size="6" baseType="variant">
      <vt:variant>
        <vt:lpstr>Titre</vt:lpstr>
      </vt:variant>
      <vt:variant>
        <vt:i4>1</vt:i4>
      </vt:variant>
      <vt:variant>
        <vt:lpstr>Titres</vt:lpstr>
      </vt:variant>
      <vt:variant>
        <vt:i4>36</vt:i4>
      </vt:variant>
      <vt:variant>
        <vt:lpstr>Title</vt:lpstr>
      </vt:variant>
      <vt:variant>
        <vt:i4>1</vt:i4>
      </vt:variant>
    </vt:vector>
  </HeadingPairs>
  <TitlesOfParts>
    <vt:vector size="38" baseType="lpstr">
      <vt:lpstr>Tarifs non-périodique 2019-2023</vt:lpstr>
      <vt:lpstr>Raccordement</vt:lpstr>
      <vt:lpstr>    Raccordement BT</vt:lpstr>
      <vt:lpstr>        Accès au réseau</vt:lpstr>
      <vt:lpstr>        Branchement</vt:lpstr>
      <vt:lpstr>        Comptage</vt:lpstr>
      <vt:lpstr>        Divers</vt:lpstr>
      <vt:lpstr>    Raccordement BT provisoire</vt:lpstr>
      <vt:lpstr>    Viabilisation de terrain</vt:lpstr>
      <vt:lpstr>        Frais d’ouverture de dossier et d’Etude</vt:lpstr>
      <vt:lpstr>        Coûts des travaux d’électrification</vt:lpstr>
      <vt:lpstr>        Forfait par lot</vt:lpstr>
      <vt:lpstr>        Divers</vt:lpstr>
      <vt:lpstr>    Raccordement TransBT</vt:lpstr>
      <vt:lpstr>        Accès au réseau</vt:lpstr>
      <vt:lpstr>        Branchement</vt:lpstr>
      <vt:lpstr>        </vt:lpstr>
      <vt:lpstr>        Comptage</vt:lpstr>
      <vt:lpstr>        </vt:lpstr>
      <vt:lpstr>        Frais d’ouverture de dossier et d’Etude</vt:lpstr>
      <vt:lpstr>    Raccordement MT jusqu’à 5 MVA</vt:lpstr>
      <vt:lpstr>        Accès au réseau</vt:lpstr>
      <vt:lpstr>        Branchement</vt:lpstr>
      <vt:lpstr>        </vt:lpstr>
      <vt:lpstr>        Comptage</vt:lpstr>
      <vt:lpstr>        Divers</vt:lpstr>
      <vt:lpstr>        </vt:lpstr>
      <vt:lpstr>        Frais d’ouverture de dossier et d’Etude</vt:lpstr>
      <vt:lpstr>    Raccordement TransMT jusqu’à 25 MVA</vt:lpstr>
      <vt:lpstr>        Accès au réseau</vt:lpstr>
      <vt:lpstr>        Branchement</vt:lpstr>
      <vt:lpstr>        Comptage</vt:lpstr>
      <vt:lpstr>        Divers</vt:lpstr>
      <vt:lpstr>        Frais d’ouverture de dossier et d’Etude</vt:lpstr>
      <vt:lpstr>    Raccordement HT</vt:lpstr>
      <vt:lpstr>E : Frais d’ouverture de dossier et d’Etude</vt:lpstr>
      <vt:lpstr>Prestations diverses</vt:lpstr>
      <vt:lpstr/>
    </vt:vector>
  </TitlesOfParts>
  <Company>Hewlett-Packard Company</Company>
  <LinksUpToDate>false</LinksUpToDate>
  <CharactersWithSpaces>47183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Tarifs non-périodique 2020</dc:title>
  <dc:creator>Maxime Selves</dc:creator>
  <cp:lastModifiedBy>Maxime Selves</cp:lastModifiedBy>
  <cp:revision>14</cp:revision>
  <cp:lastPrinted>2017-11-20T08:24:00Z</cp:lastPrinted>
  <dcterms:created xsi:type="dcterms:W3CDTF">2018-09-07T09:01:00Z</dcterms:created>
  <dcterms:modified xsi:type="dcterms:W3CDTF">2018-11-20T15:44:00Z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