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3FBA" w14:textId="77777777" w:rsidR="006A3AB9" w:rsidRDefault="006A3AB9" w:rsidP="006A3AB9"/>
    <w:p w14:paraId="718082DB" w14:textId="77777777" w:rsidR="006A3AB9" w:rsidRDefault="002E0C1E" w:rsidP="006A3AB9">
      <w:r>
        <w:rPr>
          <w:rFonts w:cs="Arial"/>
          <w:b/>
          <w:bCs/>
          <w:noProof/>
          <w:sz w:val="22"/>
        </w:rPr>
        <w:drawing>
          <wp:inline distT="0" distB="0" distL="0" distR="0" wp14:anchorId="543E49F6" wp14:editId="74A83AB4">
            <wp:extent cx="2756848" cy="962025"/>
            <wp:effectExtent l="0" t="0" r="5715" b="0"/>
            <wp:docPr id="2" name="Picture 2" descr="Synergri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ergrid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6848" cy="962025"/>
                    </a:xfrm>
                    <a:prstGeom prst="rect">
                      <a:avLst/>
                    </a:prstGeom>
                    <a:noFill/>
                    <a:ln>
                      <a:noFill/>
                    </a:ln>
                  </pic:spPr>
                </pic:pic>
              </a:graphicData>
            </a:graphic>
          </wp:inline>
        </w:drawing>
      </w:r>
    </w:p>
    <w:p w14:paraId="6A2905EA" w14:textId="77777777" w:rsidR="004E30B5" w:rsidRDefault="004E30B5" w:rsidP="006A3AB9"/>
    <w:p w14:paraId="42D4D3AD" w14:textId="77777777" w:rsidR="004E30B5" w:rsidRDefault="004E30B5" w:rsidP="006A3AB9"/>
    <w:p w14:paraId="79C95C60" w14:textId="77777777" w:rsidR="004E30B5" w:rsidRDefault="004E30B5" w:rsidP="006A3AB9"/>
    <w:p w14:paraId="3CE9C87C" w14:textId="77777777" w:rsidR="004E30B5" w:rsidRDefault="004E30B5" w:rsidP="006A3AB9"/>
    <w:p w14:paraId="6FBD0F64" w14:textId="77777777" w:rsidR="004E30B5" w:rsidRDefault="004E30B5" w:rsidP="006A3AB9"/>
    <w:p w14:paraId="43046112" w14:textId="77777777" w:rsidR="004E30B5" w:rsidRDefault="004E30B5" w:rsidP="006A3AB9"/>
    <w:p w14:paraId="1A0CBF31" w14:textId="77777777" w:rsidR="004E30B5" w:rsidRDefault="004E30B5" w:rsidP="006A3AB9"/>
    <w:p w14:paraId="760F717F" w14:textId="77777777" w:rsidR="009764DD" w:rsidRDefault="009764DD" w:rsidP="006A3AB9"/>
    <w:p w14:paraId="498205E7" w14:textId="77777777" w:rsidR="009764DD" w:rsidRDefault="009764DD" w:rsidP="006A3AB9"/>
    <w:p w14:paraId="1C2956FF" w14:textId="77777777" w:rsidR="006F5A30" w:rsidRDefault="006F5A30" w:rsidP="006A3AB9"/>
    <w:p w14:paraId="78FB3393" w14:textId="77777777" w:rsidR="006F5A30" w:rsidRDefault="006F5A30" w:rsidP="006A3AB9"/>
    <w:p w14:paraId="57F67E6B" w14:textId="77777777" w:rsidR="009764DD" w:rsidRDefault="009764DD" w:rsidP="006A3AB9"/>
    <w:p w14:paraId="265CBDFE" w14:textId="77777777" w:rsidR="006F5A30" w:rsidRDefault="006F5A30" w:rsidP="006A3AB9"/>
    <w:p w14:paraId="4EF17B0F" w14:textId="77777777" w:rsidR="004E30B5" w:rsidRDefault="004E30B5" w:rsidP="006A3AB9"/>
    <w:p w14:paraId="210ADAB9" w14:textId="77777777" w:rsidR="004E30B5" w:rsidRDefault="004E30B5" w:rsidP="006A3AB9"/>
    <w:p w14:paraId="3875B0BE" w14:textId="77777777" w:rsidR="004E30B5" w:rsidRDefault="004E30B5" w:rsidP="006A3AB9"/>
    <w:p w14:paraId="3E60D5B0" w14:textId="77777777" w:rsidR="00974317" w:rsidRDefault="00974317" w:rsidP="00E85680">
      <w:pPr>
        <w:pBdr>
          <w:top w:val="single" w:sz="4" w:space="1" w:color="auto"/>
          <w:left w:val="single" w:sz="4" w:space="4" w:color="auto"/>
          <w:bottom w:val="single" w:sz="4" w:space="0" w:color="auto"/>
          <w:right w:val="single" w:sz="4" w:space="4" w:color="auto"/>
        </w:pBdr>
        <w:jc w:val="center"/>
        <w:rPr>
          <w:b/>
          <w:sz w:val="36"/>
          <w:szCs w:val="28"/>
          <w:lang w:val="fr-BE"/>
        </w:rPr>
      </w:pPr>
    </w:p>
    <w:p w14:paraId="203006EE" w14:textId="6B33D435" w:rsidR="0088381F" w:rsidRPr="0044390D" w:rsidRDefault="00DB23E0" w:rsidP="00E85680">
      <w:pPr>
        <w:pBdr>
          <w:top w:val="single" w:sz="4" w:space="1" w:color="auto"/>
          <w:left w:val="single" w:sz="4" w:space="4" w:color="auto"/>
          <w:bottom w:val="single" w:sz="4" w:space="0" w:color="auto"/>
          <w:right w:val="single" w:sz="4" w:space="4" w:color="auto"/>
        </w:pBdr>
        <w:jc w:val="center"/>
        <w:rPr>
          <w:b/>
          <w:sz w:val="36"/>
          <w:szCs w:val="28"/>
          <w:lang w:val="fr-BE"/>
        </w:rPr>
      </w:pPr>
      <w:r w:rsidRPr="0044390D">
        <w:rPr>
          <w:b/>
          <w:sz w:val="36"/>
          <w:szCs w:val="28"/>
          <w:lang w:val="fr-BE"/>
        </w:rPr>
        <w:t>C8-</w:t>
      </w:r>
      <w:r w:rsidR="00ED15D9" w:rsidRPr="0044390D">
        <w:rPr>
          <w:b/>
          <w:sz w:val="36"/>
          <w:szCs w:val="28"/>
          <w:lang w:val="fr-BE"/>
        </w:rPr>
        <w:t>0</w:t>
      </w:r>
      <w:r w:rsidR="009A2123" w:rsidRPr="0044390D">
        <w:rPr>
          <w:b/>
          <w:sz w:val="36"/>
          <w:szCs w:val="28"/>
          <w:lang w:val="fr-BE"/>
        </w:rPr>
        <w:t xml:space="preserve">1 </w:t>
      </w:r>
      <w:r w:rsidR="0088381F" w:rsidRPr="0044390D">
        <w:rPr>
          <w:b/>
          <w:sz w:val="36"/>
          <w:szCs w:val="28"/>
          <w:lang w:val="fr-BE"/>
        </w:rPr>
        <w:t>(v</w:t>
      </w:r>
      <w:r w:rsidR="008E7370" w:rsidRPr="0044390D">
        <w:rPr>
          <w:b/>
          <w:sz w:val="36"/>
          <w:szCs w:val="28"/>
          <w:lang w:val="fr-BE"/>
        </w:rPr>
        <w:t>1</w:t>
      </w:r>
      <w:r w:rsidR="008E2DF8" w:rsidRPr="0044390D">
        <w:rPr>
          <w:b/>
          <w:sz w:val="36"/>
          <w:szCs w:val="28"/>
          <w:lang w:val="fr-BE"/>
        </w:rPr>
        <w:t>2</w:t>
      </w:r>
      <w:r w:rsidR="0088381F" w:rsidRPr="0044390D">
        <w:rPr>
          <w:b/>
          <w:sz w:val="36"/>
          <w:szCs w:val="28"/>
          <w:lang w:val="fr-BE"/>
        </w:rPr>
        <w:t>)</w:t>
      </w:r>
    </w:p>
    <w:p w14:paraId="6D868DE2" w14:textId="77777777" w:rsidR="00274CE1" w:rsidRPr="0044390D" w:rsidRDefault="00B50D09" w:rsidP="00E85680">
      <w:pPr>
        <w:pBdr>
          <w:top w:val="single" w:sz="4" w:space="1" w:color="auto"/>
          <w:left w:val="single" w:sz="4" w:space="4" w:color="auto"/>
          <w:bottom w:val="single" w:sz="4" w:space="0" w:color="auto"/>
          <w:right w:val="single" w:sz="4" w:space="4" w:color="auto"/>
        </w:pBdr>
        <w:jc w:val="center"/>
        <w:rPr>
          <w:b/>
          <w:sz w:val="36"/>
          <w:szCs w:val="28"/>
          <w:lang w:val="fr-BE"/>
        </w:rPr>
      </w:pPr>
      <w:r w:rsidRPr="0044390D">
        <w:rPr>
          <w:b/>
          <w:sz w:val="36"/>
          <w:szCs w:val="28"/>
          <w:lang w:val="fr-BE"/>
        </w:rPr>
        <w:t xml:space="preserve">Network </w:t>
      </w:r>
      <w:proofErr w:type="spellStart"/>
      <w:r w:rsidRPr="0044390D">
        <w:rPr>
          <w:b/>
          <w:sz w:val="36"/>
          <w:szCs w:val="28"/>
          <w:lang w:val="fr-BE"/>
        </w:rPr>
        <w:t>Flex</w:t>
      </w:r>
      <w:r w:rsidR="00787C96" w:rsidRPr="0044390D">
        <w:rPr>
          <w:b/>
          <w:sz w:val="36"/>
          <w:szCs w:val="28"/>
          <w:lang w:val="fr-BE"/>
        </w:rPr>
        <w:t>ibility</w:t>
      </w:r>
      <w:proofErr w:type="spellEnd"/>
      <w:r w:rsidRPr="0044390D">
        <w:rPr>
          <w:b/>
          <w:sz w:val="36"/>
          <w:szCs w:val="28"/>
          <w:lang w:val="fr-BE"/>
        </w:rPr>
        <w:t xml:space="preserve"> </w:t>
      </w:r>
      <w:proofErr w:type="spellStart"/>
      <w:r w:rsidRPr="0044390D">
        <w:rPr>
          <w:b/>
          <w:sz w:val="36"/>
          <w:szCs w:val="28"/>
          <w:lang w:val="fr-BE"/>
        </w:rPr>
        <w:t>Study</w:t>
      </w:r>
      <w:proofErr w:type="spellEnd"/>
    </w:p>
    <w:p w14:paraId="5DFE047F" w14:textId="112602CE" w:rsidR="008A0D18" w:rsidRDefault="0030160E" w:rsidP="00E85680">
      <w:pPr>
        <w:pBdr>
          <w:top w:val="single" w:sz="4" w:space="1" w:color="auto"/>
          <w:left w:val="single" w:sz="4" w:space="4" w:color="auto"/>
          <w:bottom w:val="single" w:sz="4" w:space="0" w:color="auto"/>
          <w:right w:val="single" w:sz="4" w:space="4" w:color="auto"/>
        </w:pBdr>
        <w:jc w:val="center"/>
        <w:rPr>
          <w:b/>
          <w:sz w:val="36"/>
          <w:szCs w:val="28"/>
          <w:lang w:val="fr-BE"/>
        </w:rPr>
      </w:pPr>
      <w:r>
        <w:rPr>
          <w:b/>
          <w:sz w:val="36"/>
          <w:szCs w:val="28"/>
          <w:lang w:val="fr-BE"/>
        </w:rPr>
        <w:t xml:space="preserve">pour </w:t>
      </w:r>
      <w:r w:rsidR="00974317">
        <w:rPr>
          <w:b/>
          <w:sz w:val="36"/>
          <w:szCs w:val="28"/>
          <w:lang w:val="fr-BE"/>
        </w:rPr>
        <w:t xml:space="preserve">la </w:t>
      </w:r>
      <w:r>
        <w:rPr>
          <w:b/>
          <w:sz w:val="36"/>
          <w:szCs w:val="28"/>
          <w:lang w:val="fr-BE"/>
        </w:rPr>
        <w:t>participation</w:t>
      </w:r>
      <w:r w:rsidR="00EB61F8">
        <w:rPr>
          <w:b/>
          <w:sz w:val="36"/>
          <w:szCs w:val="28"/>
          <w:lang w:val="fr-BE"/>
        </w:rPr>
        <w:t xml:space="preserve"> des URD</w:t>
      </w:r>
      <w:r>
        <w:rPr>
          <w:b/>
          <w:sz w:val="36"/>
          <w:szCs w:val="28"/>
          <w:lang w:val="fr-BE"/>
        </w:rPr>
        <w:t xml:space="preserve"> </w:t>
      </w:r>
      <w:r w:rsidR="00EB61F8">
        <w:rPr>
          <w:b/>
          <w:sz w:val="36"/>
          <w:szCs w:val="28"/>
          <w:lang w:val="fr-BE"/>
        </w:rPr>
        <w:t xml:space="preserve">à des </w:t>
      </w:r>
      <w:r w:rsidR="00306C3D">
        <w:rPr>
          <w:b/>
          <w:sz w:val="36"/>
          <w:szCs w:val="28"/>
          <w:lang w:val="fr-BE"/>
        </w:rPr>
        <w:t>Services</w:t>
      </w:r>
      <w:r w:rsidR="006079B1">
        <w:rPr>
          <w:b/>
          <w:sz w:val="36"/>
          <w:szCs w:val="28"/>
          <w:lang w:val="fr-BE"/>
        </w:rPr>
        <w:t xml:space="preserve"> </w:t>
      </w:r>
      <w:r w:rsidR="004F33AE">
        <w:rPr>
          <w:b/>
          <w:sz w:val="36"/>
          <w:szCs w:val="28"/>
          <w:lang w:val="fr-BE"/>
        </w:rPr>
        <w:t>de</w:t>
      </w:r>
      <w:r w:rsidR="00EB61F8">
        <w:rPr>
          <w:b/>
          <w:sz w:val="36"/>
          <w:szCs w:val="28"/>
          <w:lang w:val="fr-BE"/>
        </w:rPr>
        <w:t xml:space="preserve"> flexibilité</w:t>
      </w:r>
    </w:p>
    <w:p w14:paraId="74FF5D77" w14:textId="77777777" w:rsidR="000368BE" w:rsidRPr="008A0D18" w:rsidRDefault="000368BE" w:rsidP="00E85680">
      <w:pPr>
        <w:pBdr>
          <w:top w:val="single" w:sz="4" w:space="1" w:color="auto"/>
          <w:left w:val="single" w:sz="4" w:space="4" w:color="auto"/>
          <w:bottom w:val="single" w:sz="4" w:space="0" w:color="auto"/>
          <w:right w:val="single" w:sz="4" w:space="4" w:color="auto"/>
        </w:pBdr>
        <w:jc w:val="center"/>
        <w:rPr>
          <w:b/>
          <w:sz w:val="36"/>
          <w:szCs w:val="28"/>
          <w:lang w:val="fr-BE"/>
        </w:rPr>
      </w:pPr>
    </w:p>
    <w:p w14:paraId="03B19C90" w14:textId="77777777" w:rsidR="006A3AB9" w:rsidRDefault="006A3AB9" w:rsidP="006A3AB9">
      <w:pPr>
        <w:rPr>
          <w:lang w:val="fr-BE"/>
        </w:rPr>
      </w:pPr>
    </w:p>
    <w:p w14:paraId="4FCFFD61" w14:textId="77777777" w:rsidR="003C4407" w:rsidRDefault="003C4407" w:rsidP="00312C4F">
      <w:pPr>
        <w:rPr>
          <w:lang w:val="fr-BE"/>
        </w:rPr>
      </w:pPr>
    </w:p>
    <w:p w14:paraId="79384D7F" w14:textId="77777777" w:rsidR="003C4407" w:rsidRPr="003C4407" w:rsidRDefault="003C4407" w:rsidP="003C4407">
      <w:pPr>
        <w:autoSpaceDE w:val="0"/>
        <w:autoSpaceDN w:val="0"/>
        <w:adjustRightInd w:val="0"/>
        <w:rPr>
          <w:rFonts w:cs="Arial"/>
          <w:color w:val="000000"/>
          <w:sz w:val="24"/>
          <w:szCs w:val="24"/>
          <w:lang w:val="fr-BE" w:eastAsia="nl-BE"/>
        </w:rPr>
      </w:pPr>
    </w:p>
    <w:p w14:paraId="00020A7C" w14:textId="2540CAD6" w:rsidR="003C4407" w:rsidRPr="003C4407" w:rsidRDefault="003C4407" w:rsidP="003C4407">
      <w:pPr>
        <w:autoSpaceDE w:val="0"/>
        <w:autoSpaceDN w:val="0"/>
        <w:adjustRightInd w:val="0"/>
        <w:jc w:val="center"/>
        <w:rPr>
          <w:rFonts w:cs="Arial"/>
          <w:color w:val="000000"/>
          <w:szCs w:val="20"/>
          <w:lang w:val="fr-BE" w:eastAsia="nl-BE"/>
        </w:rPr>
      </w:pPr>
      <w:r w:rsidRPr="003C4407">
        <w:rPr>
          <w:rFonts w:cs="Arial"/>
          <w:color w:val="000000"/>
          <w:sz w:val="24"/>
          <w:szCs w:val="24"/>
          <w:lang w:val="fr-BE" w:eastAsia="nl-BE"/>
        </w:rPr>
        <w:t xml:space="preserve"> </w:t>
      </w:r>
      <w:r w:rsidRPr="003C4407">
        <w:rPr>
          <w:rFonts w:cs="Arial"/>
          <w:color w:val="000000"/>
          <w:szCs w:val="20"/>
          <w:lang w:val="fr-BE" w:eastAsia="nl-BE"/>
        </w:rPr>
        <w:t xml:space="preserve">Date d’entrée en vigueur de la présente version : </w:t>
      </w:r>
      <w:r w:rsidR="00974317">
        <w:rPr>
          <w:rFonts w:cs="Arial"/>
          <w:color w:val="000000"/>
          <w:szCs w:val="20"/>
          <w:lang w:val="fr-BE" w:eastAsia="nl-BE"/>
        </w:rPr>
        <w:t>15 mars 2021</w:t>
      </w:r>
    </w:p>
    <w:p w14:paraId="6958E893" w14:textId="258A2960" w:rsidR="003C4407" w:rsidRDefault="003C4407" w:rsidP="003C4407">
      <w:pPr>
        <w:jc w:val="center"/>
        <w:rPr>
          <w:rFonts w:cs="Arial"/>
          <w:color w:val="000000"/>
          <w:szCs w:val="20"/>
          <w:lang w:val="fr-BE" w:eastAsia="nl-BE"/>
        </w:rPr>
      </w:pPr>
      <w:r w:rsidRPr="003C4407">
        <w:rPr>
          <w:rFonts w:cs="Arial"/>
          <w:color w:val="000000"/>
          <w:szCs w:val="20"/>
          <w:lang w:val="fr-BE" w:eastAsia="nl-BE"/>
        </w:rPr>
        <w:t xml:space="preserve">Date de retrait définitif de </w:t>
      </w:r>
      <w:r>
        <w:rPr>
          <w:rFonts w:cs="Arial"/>
          <w:color w:val="000000"/>
          <w:szCs w:val="20"/>
          <w:lang w:val="fr-BE" w:eastAsia="nl-BE"/>
        </w:rPr>
        <w:t>la version antérieure (</w:t>
      </w:r>
      <w:r w:rsidR="00A265FE">
        <w:rPr>
          <w:rFonts w:cs="Arial"/>
          <w:color w:val="000000"/>
          <w:szCs w:val="20"/>
          <w:lang w:val="fr-BE" w:eastAsia="nl-BE"/>
        </w:rPr>
        <w:t>octobre</w:t>
      </w:r>
      <w:r>
        <w:rPr>
          <w:rFonts w:cs="Arial"/>
          <w:color w:val="000000"/>
          <w:szCs w:val="20"/>
          <w:lang w:val="fr-BE" w:eastAsia="nl-BE"/>
        </w:rPr>
        <w:t xml:space="preserve"> 201</w:t>
      </w:r>
      <w:r w:rsidR="00A265FE">
        <w:rPr>
          <w:rFonts w:cs="Arial"/>
          <w:color w:val="000000"/>
          <w:szCs w:val="20"/>
          <w:lang w:val="fr-BE" w:eastAsia="nl-BE"/>
        </w:rPr>
        <w:t>6</w:t>
      </w:r>
      <w:r w:rsidRPr="003C4407">
        <w:rPr>
          <w:rFonts w:cs="Arial"/>
          <w:color w:val="000000"/>
          <w:szCs w:val="20"/>
          <w:lang w:val="fr-BE" w:eastAsia="nl-BE"/>
        </w:rPr>
        <w:t xml:space="preserve">) : </w:t>
      </w:r>
      <w:r w:rsidR="00974317">
        <w:rPr>
          <w:rFonts w:cs="Arial"/>
          <w:color w:val="000000"/>
          <w:szCs w:val="20"/>
          <w:lang w:val="fr-BE" w:eastAsia="nl-BE"/>
        </w:rPr>
        <w:t>15 mars 2021</w:t>
      </w:r>
    </w:p>
    <w:p w14:paraId="12DF2BB8" w14:textId="77777777" w:rsidR="00312C4F" w:rsidRDefault="00312C4F" w:rsidP="006A3AB9">
      <w:pPr>
        <w:rPr>
          <w:lang w:val="fr-BE"/>
        </w:rPr>
      </w:pPr>
    </w:p>
    <w:p w14:paraId="169CEACB" w14:textId="77777777" w:rsidR="009F29FC" w:rsidRDefault="009F29FC">
      <w:pPr>
        <w:rPr>
          <w:lang w:val="fr-BE"/>
        </w:rPr>
      </w:pPr>
      <w:r>
        <w:rPr>
          <w:lang w:val="fr-BE"/>
        </w:rPr>
        <w:br w:type="page"/>
      </w:r>
    </w:p>
    <w:p w14:paraId="1CE82306" w14:textId="77777777" w:rsidR="009F29FC" w:rsidRDefault="009F29FC" w:rsidP="006A3AB9">
      <w:pPr>
        <w:rPr>
          <w:lang w:val="fr-BE"/>
        </w:rPr>
      </w:pPr>
    </w:p>
    <w:p w14:paraId="10945647" w14:textId="77777777" w:rsidR="00C71D0C" w:rsidRPr="00AD3FCB" w:rsidRDefault="00C71D0C" w:rsidP="00FE5D52">
      <w:pPr>
        <w:spacing w:after="200" w:line="276" w:lineRule="auto"/>
        <w:rPr>
          <w:lang w:val="fr-BE"/>
        </w:rPr>
      </w:pPr>
      <w:r>
        <w:rPr>
          <w:lang w:val="fr-FR"/>
        </w:rPr>
        <w:t>Table des matières</w:t>
      </w:r>
    </w:p>
    <w:sdt>
      <w:sdtPr>
        <w:rPr>
          <w:rFonts w:ascii="Arial" w:hAnsi="Arial"/>
          <w:iCs w:val="0"/>
          <w:caps w:val="0"/>
          <w:color w:val="auto"/>
          <w:sz w:val="20"/>
          <w:szCs w:val="22"/>
          <w:lang w:val="nl-BE" w:eastAsia="zh-CN"/>
        </w:rPr>
        <w:id w:val="3516766"/>
        <w:docPartObj>
          <w:docPartGallery w:val="Table of Contents"/>
          <w:docPartUnique/>
        </w:docPartObj>
      </w:sdtPr>
      <w:sdtEndPr/>
      <w:sdtContent>
        <w:p w14:paraId="25BEA501" w14:textId="0B396D6E" w:rsidR="006032A6" w:rsidRPr="000E4616" w:rsidRDefault="006032A6">
          <w:pPr>
            <w:pStyle w:val="En-ttedetabledesmatires"/>
            <w:rPr>
              <w:lang w:val="fr-BE"/>
            </w:rPr>
          </w:pPr>
        </w:p>
        <w:p w14:paraId="30D645D7" w14:textId="5ED2801B" w:rsidR="009735BD" w:rsidRDefault="006032A6">
          <w:pPr>
            <w:pStyle w:val="TM1"/>
            <w:rPr>
              <w:rFonts w:asciiTheme="minorHAnsi" w:eastAsiaTheme="minorEastAsia" w:hAnsiTheme="minorHAnsi" w:cstheme="minorBidi"/>
              <w:b w:val="0"/>
              <w:bCs w:val="0"/>
              <w:iCs w:val="0"/>
              <w:lang w:val="fr-BE" w:eastAsia="fr-BE"/>
            </w:rPr>
          </w:pPr>
          <w:r>
            <w:fldChar w:fldCharType="begin"/>
          </w:r>
          <w:r>
            <w:instrText xml:space="preserve"> TOC \o "1-3" \h \z \u </w:instrText>
          </w:r>
          <w:r>
            <w:fldChar w:fldCharType="separate"/>
          </w:r>
          <w:hyperlink w:anchor="_Toc65745134" w:history="1">
            <w:r w:rsidR="009735BD" w:rsidRPr="000A0EE3">
              <w:rPr>
                <w:rStyle w:val="Lienhypertexte"/>
              </w:rPr>
              <w:t>1.</w:t>
            </w:r>
            <w:r w:rsidR="009735BD">
              <w:rPr>
                <w:rFonts w:asciiTheme="minorHAnsi" w:eastAsiaTheme="minorEastAsia" w:hAnsiTheme="minorHAnsi" w:cstheme="minorBidi"/>
                <w:b w:val="0"/>
                <w:bCs w:val="0"/>
                <w:iCs w:val="0"/>
                <w:lang w:val="fr-BE" w:eastAsia="fr-BE"/>
              </w:rPr>
              <w:tab/>
            </w:r>
            <w:r w:rsidR="009735BD" w:rsidRPr="000A0EE3">
              <w:rPr>
                <w:rStyle w:val="Lienhypertexte"/>
              </w:rPr>
              <w:t>Terminologie</w:t>
            </w:r>
            <w:r w:rsidR="009735BD">
              <w:rPr>
                <w:webHidden/>
              </w:rPr>
              <w:tab/>
            </w:r>
            <w:r w:rsidR="009735BD">
              <w:rPr>
                <w:webHidden/>
              </w:rPr>
              <w:fldChar w:fldCharType="begin"/>
            </w:r>
            <w:r w:rsidR="009735BD">
              <w:rPr>
                <w:webHidden/>
              </w:rPr>
              <w:instrText xml:space="preserve"> PAGEREF _Toc65745134 \h </w:instrText>
            </w:r>
            <w:r w:rsidR="009735BD">
              <w:rPr>
                <w:webHidden/>
              </w:rPr>
            </w:r>
            <w:r w:rsidR="009735BD">
              <w:rPr>
                <w:webHidden/>
              </w:rPr>
              <w:fldChar w:fldCharType="separate"/>
            </w:r>
            <w:r w:rsidR="009735BD">
              <w:rPr>
                <w:webHidden/>
              </w:rPr>
              <w:t>3</w:t>
            </w:r>
            <w:r w:rsidR="009735BD">
              <w:rPr>
                <w:webHidden/>
              </w:rPr>
              <w:fldChar w:fldCharType="end"/>
            </w:r>
          </w:hyperlink>
        </w:p>
        <w:p w14:paraId="274204FA" w14:textId="68B45A84" w:rsidR="009735BD" w:rsidRDefault="0053724B">
          <w:pPr>
            <w:pStyle w:val="TM1"/>
            <w:rPr>
              <w:rFonts w:asciiTheme="minorHAnsi" w:eastAsiaTheme="minorEastAsia" w:hAnsiTheme="minorHAnsi" w:cstheme="minorBidi"/>
              <w:b w:val="0"/>
              <w:bCs w:val="0"/>
              <w:iCs w:val="0"/>
              <w:lang w:val="fr-BE" w:eastAsia="fr-BE"/>
            </w:rPr>
          </w:pPr>
          <w:hyperlink w:anchor="_Toc65745135" w:history="1">
            <w:r w:rsidR="009735BD" w:rsidRPr="000A0EE3">
              <w:rPr>
                <w:rStyle w:val="Lienhypertexte"/>
              </w:rPr>
              <w:t>2.</w:t>
            </w:r>
            <w:r w:rsidR="009735BD">
              <w:rPr>
                <w:rFonts w:asciiTheme="minorHAnsi" w:eastAsiaTheme="minorEastAsia" w:hAnsiTheme="minorHAnsi" w:cstheme="minorBidi"/>
                <w:b w:val="0"/>
                <w:bCs w:val="0"/>
                <w:iCs w:val="0"/>
                <w:lang w:val="fr-BE" w:eastAsia="fr-BE"/>
              </w:rPr>
              <w:tab/>
            </w:r>
            <w:r w:rsidR="009735BD" w:rsidRPr="000A0EE3">
              <w:rPr>
                <w:rStyle w:val="Lienhypertexte"/>
              </w:rPr>
              <w:t>Objet et domaine d’application</w:t>
            </w:r>
            <w:r w:rsidR="009735BD">
              <w:rPr>
                <w:webHidden/>
              </w:rPr>
              <w:tab/>
            </w:r>
            <w:r w:rsidR="009735BD">
              <w:rPr>
                <w:webHidden/>
              </w:rPr>
              <w:fldChar w:fldCharType="begin"/>
            </w:r>
            <w:r w:rsidR="009735BD">
              <w:rPr>
                <w:webHidden/>
              </w:rPr>
              <w:instrText xml:space="preserve"> PAGEREF _Toc65745135 \h </w:instrText>
            </w:r>
            <w:r w:rsidR="009735BD">
              <w:rPr>
                <w:webHidden/>
              </w:rPr>
            </w:r>
            <w:r w:rsidR="009735BD">
              <w:rPr>
                <w:webHidden/>
              </w:rPr>
              <w:fldChar w:fldCharType="separate"/>
            </w:r>
            <w:r w:rsidR="009735BD">
              <w:rPr>
                <w:webHidden/>
              </w:rPr>
              <w:t>3</w:t>
            </w:r>
            <w:r w:rsidR="009735BD">
              <w:rPr>
                <w:webHidden/>
              </w:rPr>
              <w:fldChar w:fldCharType="end"/>
            </w:r>
          </w:hyperlink>
        </w:p>
        <w:p w14:paraId="2AC5A351" w14:textId="73AC239D" w:rsidR="009735BD" w:rsidRDefault="0053724B">
          <w:pPr>
            <w:pStyle w:val="TM1"/>
            <w:rPr>
              <w:rFonts w:asciiTheme="minorHAnsi" w:eastAsiaTheme="minorEastAsia" w:hAnsiTheme="minorHAnsi" w:cstheme="minorBidi"/>
              <w:b w:val="0"/>
              <w:bCs w:val="0"/>
              <w:iCs w:val="0"/>
              <w:lang w:val="fr-BE" w:eastAsia="fr-BE"/>
            </w:rPr>
          </w:pPr>
          <w:hyperlink w:anchor="_Toc65745136" w:history="1">
            <w:r w:rsidR="009735BD" w:rsidRPr="000A0EE3">
              <w:rPr>
                <w:rStyle w:val="Lienhypertexte"/>
                <w:lang w:val="fr-BE"/>
              </w:rPr>
              <w:t>3.</w:t>
            </w:r>
            <w:r w:rsidR="009735BD">
              <w:rPr>
                <w:rFonts w:asciiTheme="minorHAnsi" w:eastAsiaTheme="minorEastAsia" w:hAnsiTheme="minorHAnsi" w:cstheme="minorBidi"/>
                <w:b w:val="0"/>
                <w:bCs w:val="0"/>
                <w:iCs w:val="0"/>
                <w:lang w:val="fr-BE" w:eastAsia="fr-BE"/>
              </w:rPr>
              <w:tab/>
            </w:r>
            <w:r w:rsidR="009735BD" w:rsidRPr="000A0EE3">
              <w:rPr>
                <w:rStyle w:val="Lienhypertexte"/>
                <w:lang w:val="fr-BE"/>
              </w:rPr>
              <w:t>Etape 1 : Introduction d’une demande de qualification</w:t>
            </w:r>
            <w:r w:rsidR="009735BD">
              <w:rPr>
                <w:webHidden/>
              </w:rPr>
              <w:tab/>
            </w:r>
            <w:r w:rsidR="009735BD">
              <w:rPr>
                <w:webHidden/>
              </w:rPr>
              <w:fldChar w:fldCharType="begin"/>
            </w:r>
            <w:r w:rsidR="009735BD">
              <w:rPr>
                <w:webHidden/>
              </w:rPr>
              <w:instrText xml:space="preserve"> PAGEREF _Toc65745136 \h </w:instrText>
            </w:r>
            <w:r w:rsidR="009735BD">
              <w:rPr>
                <w:webHidden/>
              </w:rPr>
            </w:r>
            <w:r w:rsidR="009735BD">
              <w:rPr>
                <w:webHidden/>
              </w:rPr>
              <w:fldChar w:fldCharType="separate"/>
            </w:r>
            <w:r w:rsidR="009735BD">
              <w:rPr>
                <w:webHidden/>
              </w:rPr>
              <w:t>4</w:t>
            </w:r>
            <w:r w:rsidR="009735BD">
              <w:rPr>
                <w:webHidden/>
              </w:rPr>
              <w:fldChar w:fldCharType="end"/>
            </w:r>
          </w:hyperlink>
        </w:p>
        <w:p w14:paraId="7B17329D" w14:textId="2EBBEFED" w:rsidR="009735BD" w:rsidRDefault="0053724B">
          <w:pPr>
            <w:pStyle w:val="TM1"/>
            <w:rPr>
              <w:rFonts w:asciiTheme="minorHAnsi" w:eastAsiaTheme="minorEastAsia" w:hAnsiTheme="minorHAnsi" w:cstheme="minorBidi"/>
              <w:b w:val="0"/>
              <w:bCs w:val="0"/>
              <w:iCs w:val="0"/>
              <w:lang w:val="fr-BE" w:eastAsia="fr-BE"/>
            </w:rPr>
          </w:pPr>
          <w:hyperlink w:anchor="_Toc65745137" w:history="1">
            <w:r w:rsidR="009735BD" w:rsidRPr="000A0EE3">
              <w:rPr>
                <w:rStyle w:val="Lienhypertexte"/>
              </w:rPr>
              <w:t>4.</w:t>
            </w:r>
            <w:r w:rsidR="009735BD">
              <w:rPr>
                <w:rFonts w:asciiTheme="minorHAnsi" w:eastAsiaTheme="minorEastAsia" w:hAnsiTheme="minorHAnsi" w:cstheme="minorBidi"/>
                <w:b w:val="0"/>
                <w:bCs w:val="0"/>
                <w:iCs w:val="0"/>
                <w:lang w:val="fr-BE" w:eastAsia="fr-BE"/>
              </w:rPr>
              <w:tab/>
            </w:r>
            <w:r w:rsidR="009735BD" w:rsidRPr="000A0EE3">
              <w:rPr>
                <w:rStyle w:val="Lienhypertexte"/>
              </w:rPr>
              <w:t>Etape 2 : Etude NFS</w:t>
            </w:r>
            <w:r w:rsidR="009735BD">
              <w:rPr>
                <w:webHidden/>
              </w:rPr>
              <w:tab/>
            </w:r>
            <w:r w:rsidR="009735BD">
              <w:rPr>
                <w:webHidden/>
              </w:rPr>
              <w:fldChar w:fldCharType="begin"/>
            </w:r>
            <w:r w:rsidR="009735BD">
              <w:rPr>
                <w:webHidden/>
              </w:rPr>
              <w:instrText xml:space="preserve"> PAGEREF _Toc65745137 \h </w:instrText>
            </w:r>
            <w:r w:rsidR="009735BD">
              <w:rPr>
                <w:webHidden/>
              </w:rPr>
            </w:r>
            <w:r w:rsidR="009735BD">
              <w:rPr>
                <w:webHidden/>
              </w:rPr>
              <w:fldChar w:fldCharType="separate"/>
            </w:r>
            <w:r w:rsidR="009735BD">
              <w:rPr>
                <w:webHidden/>
              </w:rPr>
              <w:t>5</w:t>
            </w:r>
            <w:r w:rsidR="009735BD">
              <w:rPr>
                <w:webHidden/>
              </w:rPr>
              <w:fldChar w:fldCharType="end"/>
            </w:r>
          </w:hyperlink>
        </w:p>
        <w:p w14:paraId="43FDA938" w14:textId="3ECB8D01" w:rsidR="009735BD" w:rsidRDefault="0053724B">
          <w:pPr>
            <w:pStyle w:val="TM2"/>
            <w:tabs>
              <w:tab w:val="left" w:pos="880"/>
              <w:tab w:val="right" w:leader="dot" w:pos="9628"/>
            </w:tabs>
            <w:rPr>
              <w:rFonts w:asciiTheme="minorHAnsi" w:eastAsiaTheme="minorEastAsia" w:hAnsiTheme="minorHAnsi" w:cstheme="minorBidi"/>
              <w:bCs w:val="0"/>
              <w:iCs w:val="0"/>
              <w:noProof/>
              <w:sz w:val="22"/>
              <w:szCs w:val="22"/>
              <w:lang w:val="fr-BE" w:eastAsia="fr-BE"/>
            </w:rPr>
          </w:pPr>
          <w:hyperlink w:anchor="_Toc65745138" w:history="1">
            <w:r w:rsidR="009735BD" w:rsidRPr="000A0EE3">
              <w:rPr>
                <w:rStyle w:val="Lienhypertexte"/>
                <w:noProof/>
              </w:rPr>
              <w:t>4.1.</w:t>
            </w:r>
            <w:r w:rsidR="009735BD">
              <w:rPr>
                <w:rFonts w:asciiTheme="minorHAnsi" w:eastAsiaTheme="minorEastAsia" w:hAnsiTheme="minorHAnsi" w:cstheme="minorBidi"/>
                <w:bCs w:val="0"/>
                <w:iCs w:val="0"/>
                <w:noProof/>
                <w:sz w:val="22"/>
                <w:szCs w:val="22"/>
                <w:lang w:val="fr-BE" w:eastAsia="fr-BE"/>
              </w:rPr>
              <w:tab/>
            </w:r>
            <w:r w:rsidR="009735BD" w:rsidRPr="000A0EE3">
              <w:rPr>
                <w:rStyle w:val="Lienhypertexte"/>
                <w:noProof/>
              </w:rPr>
              <w:t>Modalités pratiques</w:t>
            </w:r>
            <w:r w:rsidR="009735BD">
              <w:rPr>
                <w:noProof/>
                <w:webHidden/>
              </w:rPr>
              <w:tab/>
            </w:r>
            <w:r w:rsidR="009735BD">
              <w:rPr>
                <w:noProof/>
                <w:webHidden/>
              </w:rPr>
              <w:fldChar w:fldCharType="begin"/>
            </w:r>
            <w:r w:rsidR="009735BD">
              <w:rPr>
                <w:noProof/>
                <w:webHidden/>
              </w:rPr>
              <w:instrText xml:space="preserve"> PAGEREF _Toc65745138 \h </w:instrText>
            </w:r>
            <w:r w:rsidR="009735BD">
              <w:rPr>
                <w:noProof/>
                <w:webHidden/>
              </w:rPr>
            </w:r>
            <w:r w:rsidR="009735BD">
              <w:rPr>
                <w:noProof/>
                <w:webHidden/>
              </w:rPr>
              <w:fldChar w:fldCharType="separate"/>
            </w:r>
            <w:r w:rsidR="009735BD">
              <w:rPr>
                <w:noProof/>
                <w:webHidden/>
              </w:rPr>
              <w:t>5</w:t>
            </w:r>
            <w:r w:rsidR="009735BD">
              <w:rPr>
                <w:noProof/>
                <w:webHidden/>
              </w:rPr>
              <w:fldChar w:fldCharType="end"/>
            </w:r>
          </w:hyperlink>
        </w:p>
        <w:p w14:paraId="7551B0AB" w14:textId="2C393634" w:rsidR="009735BD" w:rsidRDefault="0053724B">
          <w:pPr>
            <w:pStyle w:val="TM2"/>
            <w:tabs>
              <w:tab w:val="left" w:pos="880"/>
              <w:tab w:val="right" w:leader="dot" w:pos="9628"/>
            </w:tabs>
            <w:rPr>
              <w:rFonts w:asciiTheme="minorHAnsi" w:eastAsiaTheme="minorEastAsia" w:hAnsiTheme="minorHAnsi" w:cstheme="minorBidi"/>
              <w:bCs w:val="0"/>
              <w:iCs w:val="0"/>
              <w:noProof/>
              <w:sz w:val="22"/>
              <w:szCs w:val="22"/>
              <w:lang w:val="fr-BE" w:eastAsia="fr-BE"/>
            </w:rPr>
          </w:pPr>
          <w:hyperlink w:anchor="_Toc65745139" w:history="1">
            <w:r w:rsidR="009735BD" w:rsidRPr="000A0EE3">
              <w:rPr>
                <w:rStyle w:val="Lienhypertexte"/>
                <w:noProof/>
                <w:lang w:val="fr-BE"/>
              </w:rPr>
              <w:t>4.2.</w:t>
            </w:r>
            <w:r w:rsidR="009735BD">
              <w:rPr>
                <w:rFonts w:asciiTheme="minorHAnsi" w:eastAsiaTheme="minorEastAsia" w:hAnsiTheme="minorHAnsi" w:cstheme="minorBidi"/>
                <w:bCs w:val="0"/>
                <w:iCs w:val="0"/>
                <w:noProof/>
                <w:sz w:val="22"/>
                <w:szCs w:val="22"/>
                <w:lang w:val="fr-BE" w:eastAsia="fr-BE"/>
              </w:rPr>
              <w:tab/>
            </w:r>
            <w:r w:rsidR="009735BD" w:rsidRPr="000A0EE3">
              <w:rPr>
                <w:rStyle w:val="Lienhypertexte"/>
                <w:noProof/>
                <w:lang w:val="fr-BE"/>
              </w:rPr>
              <w:t>Description qualitative de l’étude NFS et des résultats possibles</w:t>
            </w:r>
            <w:r w:rsidR="009735BD">
              <w:rPr>
                <w:noProof/>
                <w:webHidden/>
              </w:rPr>
              <w:tab/>
            </w:r>
            <w:r w:rsidR="009735BD">
              <w:rPr>
                <w:noProof/>
                <w:webHidden/>
              </w:rPr>
              <w:fldChar w:fldCharType="begin"/>
            </w:r>
            <w:r w:rsidR="009735BD">
              <w:rPr>
                <w:noProof/>
                <w:webHidden/>
              </w:rPr>
              <w:instrText xml:space="preserve"> PAGEREF _Toc65745139 \h </w:instrText>
            </w:r>
            <w:r w:rsidR="009735BD">
              <w:rPr>
                <w:noProof/>
                <w:webHidden/>
              </w:rPr>
            </w:r>
            <w:r w:rsidR="009735BD">
              <w:rPr>
                <w:noProof/>
                <w:webHidden/>
              </w:rPr>
              <w:fldChar w:fldCharType="separate"/>
            </w:r>
            <w:r w:rsidR="009735BD">
              <w:rPr>
                <w:noProof/>
                <w:webHidden/>
              </w:rPr>
              <w:t>5</w:t>
            </w:r>
            <w:r w:rsidR="009735BD">
              <w:rPr>
                <w:noProof/>
                <w:webHidden/>
              </w:rPr>
              <w:fldChar w:fldCharType="end"/>
            </w:r>
          </w:hyperlink>
        </w:p>
        <w:p w14:paraId="59F37C77" w14:textId="749A4A6D" w:rsidR="009735BD" w:rsidRDefault="0053724B">
          <w:pPr>
            <w:pStyle w:val="TM1"/>
            <w:rPr>
              <w:rFonts w:asciiTheme="minorHAnsi" w:eastAsiaTheme="minorEastAsia" w:hAnsiTheme="minorHAnsi" w:cstheme="minorBidi"/>
              <w:b w:val="0"/>
              <w:bCs w:val="0"/>
              <w:iCs w:val="0"/>
              <w:lang w:val="fr-BE" w:eastAsia="fr-BE"/>
            </w:rPr>
          </w:pPr>
          <w:hyperlink w:anchor="_Toc65745140" w:history="1">
            <w:r w:rsidR="009735BD" w:rsidRPr="000A0EE3">
              <w:rPr>
                <w:rStyle w:val="Lienhypertexte"/>
                <w:lang w:val="fr-BE"/>
              </w:rPr>
              <w:t>5.</w:t>
            </w:r>
            <w:r w:rsidR="009735BD">
              <w:rPr>
                <w:rFonts w:asciiTheme="minorHAnsi" w:eastAsiaTheme="minorEastAsia" w:hAnsiTheme="minorHAnsi" w:cstheme="minorBidi"/>
                <w:b w:val="0"/>
                <w:bCs w:val="0"/>
                <w:iCs w:val="0"/>
                <w:lang w:val="fr-BE" w:eastAsia="fr-BE"/>
              </w:rPr>
              <w:tab/>
            </w:r>
            <w:r w:rsidR="009735BD" w:rsidRPr="000A0EE3">
              <w:rPr>
                <w:rStyle w:val="Lienhypertexte"/>
                <w:lang w:val="fr-BE"/>
              </w:rPr>
              <w:t>Etape 3 : Résultat de l’étude NFS : impact sur la qualification des points de raccordement</w:t>
            </w:r>
            <w:r w:rsidR="009735BD">
              <w:rPr>
                <w:webHidden/>
              </w:rPr>
              <w:tab/>
            </w:r>
            <w:r w:rsidR="009735BD">
              <w:rPr>
                <w:webHidden/>
              </w:rPr>
              <w:fldChar w:fldCharType="begin"/>
            </w:r>
            <w:r w:rsidR="009735BD">
              <w:rPr>
                <w:webHidden/>
              </w:rPr>
              <w:instrText xml:space="preserve"> PAGEREF _Toc65745140 \h </w:instrText>
            </w:r>
            <w:r w:rsidR="009735BD">
              <w:rPr>
                <w:webHidden/>
              </w:rPr>
            </w:r>
            <w:r w:rsidR="009735BD">
              <w:rPr>
                <w:webHidden/>
              </w:rPr>
              <w:fldChar w:fldCharType="separate"/>
            </w:r>
            <w:r w:rsidR="009735BD">
              <w:rPr>
                <w:webHidden/>
              </w:rPr>
              <w:t>6</w:t>
            </w:r>
            <w:r w:rsidR="009735BD">
              <w:rPr>
                <w:webHidden/>
              </w:rPr>
              <w:fldChar w:fldCharType="end"/>
            </w:r>
          </w:hyperlink>
        </w:p>
        <w:p w14:paraId="6CFAD43E" w14:textId="0966A687" w:rsidR="009735BD" w:rsidRDefault="0053724B">
          <w:pPr>
            <w:pStyle w:val="TM2"/>
            <w:tabs>
              <w:tab w:val="left" w:pos="880"/>
              <w:tab w:val="right" w:leader="dot" w:pos="9628"/>
            </w:tabs>
            <w:rPr>
              <w:rFonts w:asciiTheme="minorHAnsi" w:eastAsiaTheme="minorEastAsia" w:hAnsiTheme="minorHAnsi" w:cstheme="minorBidi"/>
              <w:bCs w:val="0"/>
              <w:iCs w:val="0"/>
              <w:noProof/>
              <w:sz w:val="22"/>
              <w:szCs w:val="22"/>
              <w:lang w:val="fr-BE" w:eastAsia="fr-BE"/>
            </w:rPr>
          </w:pPr>
          <w:hyperlink w:anchor="_Toc65745141" w:history="1">
            <w:r w:rsidR="009735BD" w:rsidRPr="000A0EE3">
              <w:rPr>
                <w:rStyle w:val="Lienhypertexte"/>
                <w:noProof/>
                <w:lang w:val="fr-BE"/>
              </w:rPr>
              <w:t>5.1.</w:t>
            </w:r>
            <w:r w:rsidR="009735BD">
              <w:rPr>
                <w:rFonts w:asciiTheme="minorHAnsi" w:eastAsiaTheme="minorEastAsia" w:hAnsiTheme="minorHAnsi" w:cstheme="minorBidi"/>
                <w:bCs w:val="0"/>
                <w:iCs w:val="0"/>
                <w:noProof/>
                <w:sz w:val="22"/>
                <w:szCs w:val="22"/>
                <w:lang w:val="fr-BE" w:eastAsia="fr-BE"/>
              </w:rPr>
              <w:tab/>
            </w:r>
            <w:r w:rsidR="009735BD" w:rsidRPr="000A0EE3">
              <w:rPr>
                <w:rStyle w:val="Lienhypertexte"/>
                <w:noProof/>
                <w:lang w:val="fr-BE"/>
              </w:rPr>
              <w:t>Principes</w:t>
            </w:r>
            <w:r w:rsidR="009735BD">
              <w:rPr>
                <w:noProof/>
                <w:webHidden/>
              </w:rPr>
              <w:tab/>
            </w:r>
            <w:r w:rsidR="009735BD">
              <w:rPr>
                <w:noProof/>
                <w:webHidden/>
              </w:rPr>
              <w:fldChar w:fldCharType="begin"/>
            </w:r>
            <w:r w:rsidR="009735BD">
              <w:rPr>
                <w:noProof/>
                <w:webHidden/>
              </w:rPr>
              <w:instrText xml:space="preserve"> PAGEREF _Toc65745141 \h </w:instrText>
            </w:r>
            <w:r w:rsidR="009735BD">
              <w:rPr>
                <w:noProof/>
                <w:webHidden/>
              </w:rPr>
            </w:r>
            <w:r w:rsidR="009735BD">
              <w:rPr>
                <w:noProof/>
                <w:webHidden/>
              </w:rPr>
              <w:fldChar w:fldCharType="separate"/>
            </w:r>
            <w:r w:rsidR="009735BD">
              <w:rPr>
                <w:noProof/>
                <w:webHidden/>
              </w:rPr>
              <w:t>6</w:t>
            </w:r>
            <w:r w:rsidR="009735BD">
              <w:rPr>
                <w:noProof/>
                <w:webHidden/>
              </w:rPr>
              <w:fldChar w:fldCharType="end"/>
            </w:r>
          </w:hyperlink>
        </w:p>
        <w:p w14:paraId="6DAD47C1" w14:textId="42F90E27" w:rsidR="009735BD" w:rsidRDefault="0053724B">
          <w:pPr>
            <w:pStyle w:val="TM2"/>
            <w:tabs>
              <w:tab w:val="left" w:pos="880"/>
              <w:tab w:val="right" w:leader="dot" w:pos="9628"/>
            </w:tabs>
            <w:rPr>
              <w:rFonts w:asciiTheme="minorHAnsi" w:eastAsiaTheme="minorEastAsia" w:hAnsiTheme="minorHAnsi" w:cstheme="minorBidi"/>
              <w:bCs w:val="0"/>
              <w:iCs w:val="0"/>
              <w:noProof/>
              <w:sz w:val="22"/>
              <w:szCs w:val="22"/>
              <w:lang w:val="fr-BE" w:eastAsia="fr-BE"/>
            </w:rPr>
          </w:pPr>
          <w:hyperlink w:anchor="_Toc65745142" w:history="1">
            <w:r w:rsidR="009735BD" w:rsidRPr="000A0EE3">
              <w:rPr>
                <w:rStyle w:val="Lienhypertexte"/>
                <w:noProof/>
                <w:lang w:val="fr-BE"/>
              </w:rPr>
              <w:t>5.2.</w:t>
            </w:r>
            <w:r w:rsidR="009735BD">
              <w:rPr>
                <w:rFonts w:asciiTheme="minorHAnsi" w:eastAsiaTheme="minorEastAsia" w:hAnsiTheme="minorHAnsi" w:cstheme="minorBidi"/>
                <w:bCs w:val="0"/>
                <w:iCs w:val="0"/>
                <w:noProof/>
                <w:sz w:val="22"/>
                <w:szCs w:val="22"/>
                <w:lang w:val="fr-BE" w:eastAsia="fr-BE"/>
              </w:rPr>
              <w:tab/>
            </w:r>
            <w:r w:rsidR="009735BD" w:rsidRPr="000A0EE3">
              <w:rPr>
                <w:rStyle w:val="Lienhypertexte"/>
                <w:noProof/>
                <w:lang w:val="fr-BE"/>
              </w:rPr>
              <w:t>Communication des résultats</w:t>
            </w:r>
            <w:r w:rsidR="009735BD">
              <w:rPr>
                <w:noProof/>
                <w:webHidden/>
              </w:rPr>
              <w:tab/>
            </w:r>
            <w:r w:rsidR="009735BD">
              <w:rPr>
                <w:noProof/>
                <w:webHidden/>
              </w:rPr>
              <w:fldChar w:fldCharType="begin"/>
            </w:r>
            <w:r w:rsidR="009735BD">
              <w:rPr>
                <w:noProof/>
                <w:webHidden/>
              </w:rPr>
              <w:instrText xml:space="preserve"> PAGEREF _Toc65745142 \h </w:instrText>
            </w:r>
            <w:r w:rsidR="009735BD">
              <w:rPr>
                <w:noProof/>
                <w:webHidden/>
              </w:rPr>
            </w:r>
            <w:r w:rsidR="009735BD">
              <w:rPr>
                <w:noProof/>
                <w:webHidden/>
              </w:rPr>
              <w:fldChar w:fldCharType="separate"/>
            </w:r>
            <w:r w:rsidR="009735BD">
              <w:rPr>
                <w:noProof/>
                <w:webHidden/>
              </w:rPr>
              <w:t>7</w:t>
            </w:r>
            <w:r w:rsidR="009735BD">
              <w:rPr>
                <w:noProof/>
                <w:webHidden/>
              </w:rPr>
              <w:fldChar w:fldCharType="end"/>
            </w:r>
          </w:hyperlink>
        </w:p>
        <w:p w14:paraId="2BA6B36C" w14:textId="094F7708" w:rsidR="009735BD" w:rsidRDefault="0053724B">
          <w:pPr>
            <w:pStyle w:val="TM1"/>
            <w:rPr>
              <w:rFonts w:asciiTheme="minorHAnsi" w:eastAsiaTheme="minorEastAsia" w:hAnsiTheme="minorHAnsi" w:cstheme="minorBidi"/>
              <w:b w:val="0"/>
              <w:bCs w:val="0"/>
              <w:iCs w:val="0"/>
              <w:lang w:val="fr-BE" w:eastAsia="fr-BE"/>
            </w:rPr>
          </w:pPr>
          <w:hyperlink w:anchor="_Toc65745143" w:history="1">
            <w:r w:rsidR="009735BD" w:rsidRPr="000A0EE3">
              <w:rPr>
                <w:rStyle w:val="Lienhypertexte"/>
              </w:rPr>
              <w:t>6.</w:t>
            </w:r>
            <w:r w:rsidR="009735BD">
              <w:rPr>
                <w:rFonts w:asciiTheme="minorHAnsi" w:eastAsiaTheme="minorEastAsia" w:hAnsiTheme="minorHAnsi" w:cstheme="minorBidi"/>
                <w:b w:val="0"/>
                <w:bCs w:val="0"/>
                <w:iCs w:val="0"/>
                <w:lang w:val="fr-BE" w:eastAsia="fr-BE"/>
              </w:rPr>
              <w:tab/>
            </w:r>
            <w:r w:rsidR="009735BD" w:rsidRPr="000A0EE3">
              <w:rPr>
                <w:rStyle w:val="Lienhypertexte"/>
              </w:rPr>
              <w:t>Dispositions transitoires</w:t>
            </w:r>
            <w:r w:rsidR="009735BD">
              <w:rPr>
                <w:webHidden/>
              </w:rPr>
              <w:tab/>
            </w:r>
            <w:r w:rsidR="009735BD">
              <w:rPr>
                <w:webHidden/>
              </w:rPr>
              <w:fldChar w:fldCharType="begin"/>
            </w:r>
            <w:r w:rsidR="009735BD">
              <w:rPr>
                <w:webHidden/>
              </w:rPr>
              <w:instrText xml:space="preserve"> PAGEREF _Toc65745143 \h </w:instrText>
            </w:r>
            <w:r w:rsidR="009735BD">
              <w:rPr>
                <w:webHidden/>
              </w:rPr>
            </w:r>
            <w:r w:rsidR="009735BD">
              <w:rPr>
                <w:webHidden/>
              </w:rPr>
              <w:fldChar w:fldCharType="separate"/>
            </w:r>
            <w:r w:rsidR="009735BD">
              <w:rPr>
                <w:webHidden/>
              </w:rPr>
              <w:t>7</w:t>
            </w:r>
            <w:r w:rsidR="009735BD">
              <w:rPr>
                <w:webHidden/>
              </w:rPr>
              <w:fldChar w:fldCharType="end"/>
            </w:r>
          </w:hyperlink>
        </w:p>
        <w:p w14:paraId="353DF6E6" w14:textId="1DFC6F60" w:rsidR="009735BD" w:rsidRDefault="0053724B">
          <w:pPr>
            <w:pStyle w:val="TM1"/>
            <w:rPr>
              <w:rFonts w:asciiTheme="minorHAnsi" w:eastAsiaTheme="minorEastAsia" w:hAnsiTheme="minorHAnsi" w:cstheme="minorBidi"/>
              <w:b w:val="0"/>
              <w:bCs w:val="0"/>
              <w:iCs w:val="0"/>
              <w:lang w:val="fr-BE" w:eastAsia="fr-BE"/>
            </w:rPr>
          </w:pPr>
          <w:hyperlink w:anchor="_Toc65745144" w:history="1">
            <w:r w:rsidR="009735BD" w:rsidRPr="000A0EE3">
              <w:rPr>
                <w:rStyle w:val="Lienhypertexte"/>
                <w:kern w:val="28"/>
                <w:lang w:val="fr-BE"/>
              </w:rPr>
              <w:t>1</w:t>
            </w:r>
            <w:r w:rsidR="009735BD">
              <w:rPr>
                <w:rFonts w:asciiTheme="minorHAnsi" w:eastAsiaTheme="minorEastAsia" w:hAnsiTheme="minorHAnsi" w:cstheme="minorBidi"/>
                <w:b w:val="0"/>
                <w:bCs w:val="0"/>
                <w:iCs w:val="0"/>
                <w:lang w:val="fr-BE" w:eastAsia="fr-BE"/>
              </w:rPr>
              <w:tab/>
            </w:r>
            <w:r w:rsidR="009735BD" w:rsidRPr="000A0EE3">
              <w:rPr>
                <w:rStyle w:val="Lienhypertexte"/>
                <w:kern w:val="28"/>
                <w:lang w:val="fr-BE"/>
              </w:rPr>
              <w:t>Annexe 1 : Contact GRD</w:t>
            </w:r>
            <w:r w:rsidR="009735BD">
              <w:rPr>
                <w:webHidden/>
              </w:rPr>
              <w:tab/>
            </w:r>
            <w:r w:rsidR="009735BD">
              <w:rPr>
                <w:webHidden/>
              </w:rPr>
              <w:fldChar w:fldCharType="begin"/>
            </w:r>
            <w:r w:rsidR="009735BD">
              <w:rPr>
                <w:webHidden/>
              </w:rPr>
              <w:instrText xml:space="preserve"> PAGEREF _Toc65745144 \h </w:instrText>
            </w:r>
            <w:r w:rsidR="009735BD">
              <w:rPr>
                <w:webHidden/>
              </w:rPr>
            </w:r>
            <w:r w:rsidR="009735BD">
              <w:rPr>
                <w:webHidden/>
              </w:rPr>
              <w:fldChar w:fldCharType="separate"/>
            </w:r>
            <w:r w:rsidR="009735BD">
              <w:rPr>
                <w:webHidden/>
              </w:rPr>
              <w:t>8</w:t>
            </w:r>
            <w:r w:rsidR="009735BD">
              <w:rPr>
                <w:webHidden/>
              </w:rPr>
              <w:fldChar w:fldCharType="end"/>
            </w:r>
          </w:hyperlink>
        </w:p>
        <w:p w14:paraId="2535A608" w14:textId="1030DE1C" w:rsidR="009735BD" w:rsidRDefault="0053724B">
          <w:pPr>
            <w:pStyle w:val="TM1"/>
            <w:rPr>
              <w:rFonts w:asciiTheme="minorHAnsi" w:eastAsiaTheme="minorEastAsia" w:hAnsiTheme="minorHAnsi" w:cstheme="minorBidi"/>
              <w:b w:val="0"/>
              <w:bCs w:val="0"/>
              <w:iCs w:val="0"/>
              <w:lang w:val="fr-BE" w:eastAsia="fr-BE"/>
            </w:rPr>
          </w:pPr>
          <w:hyperlink w:anchor="_Toc65745145" w:history="1">
            <w:r w:rsidR="009735BD" w:rsidRPr="000A0EE3">
              <w:rPr>
                <w:rStyle w:val="Lienhypertexte"/>
                <w:kern w:val="28"/>
                <w:lang w:val="fr-BE"/>
              </w:rPr>
              <w:t>2</w:t>
            </w:r>
            <w:r w:rsidR="009735BD">
              <w:rPr>
                <w:rFonts w:asciiTheme="minorHAnsi" w:eastAsiaTheme="minorEastAsia" w:hAnsiTheme="minorHAnsi" w:cstheme="minorBidi"/>
                <w:b w:val="0"/>
                <w:bCs w:val="0"/>
                <w:iCs w:val="0"/>
                <w:lang w:val="fr-BE" w:eastAsia="fr-BE"/>
              </w:rPr>
              <w:tab/>
            </w:r>
            <w:r w:rsidR="009735BD" w:rsidRPr="000A0EE3">
              <w:rPr>
                <w:rStyle w:val="Lienhypertexte"/>
                <w:kern w:val="28"/>
                <w:lang w:val="fr-BE"/>
              </w:rPr>
              <w:t>Annexe 2 Formulaire « Connection Contract Check »</w:t>
            </w:r>
            <w:r w:rsidR="009735BD">
              <w:rPr>
                <w:webHidden/>
              </w:rPr>
              <w:tab/>
            </w:r>
            <w:r w:rsidR="009735BD">
              <w:rPr>
                <w:webHidden/>
              </w:rPr>
              <w:fldChar w:fldCharType="begin"/>
            </w:r>
            <w:r w:rsidR="009735BD">
              <w:rPr>
                <w:webHidden/>
              </w:rPr>
              <w:instrText xml:space="preserve"> PAGEREF _Toc65745145 \h </w:instrText>
            </w:r>
            <w:r w:rsidR="009735BD">
              <w:rPr>
                <w:webHidden/>
              </w:rPr>
            </w:r>
            <w:r w:rsidR="009735BD">
              <w:rPr>
                <w:webHidden/>
              </w:rPr>
              <w:fldChar w:fldCharType="separate"/>
            </w:r>
            <w:r w:rsidR="009735BD">
              <w:rPr>
                <w:webHidden/>
              </w:rPr>
              <w:t>8</w:t>
            </w:r>
            <w:r w:rsidR="009735BD">
              <w:rPr>
                <w:webHidden/>
              </w:rPr>
              <w:fldChar w:fldCharType="end"/>
            </w:r>
          </w:hyperlink>
        </w:p>
        <w:p w14:paraId="162F3788" w14:textId="7AE00B95" w:rsidR="009735BD" w:rsidRDefault="0053724B">
          <w:pPr>
            <w:pStyle w:val="TM1"/>
            <w:rPr>
              <w:rFonts w:asciiTheme="minorHAnsi" w:eastAsiaTheme="minorEastAsia" w:hAnsiTheme="minorHAnsi" w:cstheme="minorBidi"/>
              <w:b w:val="0"/>
              <w:bCs w:val="0"/>
              <w:iCs w:val="0"/>
              <w:lang w:val="fr-BE" w:eastAsia="fr-BE"/>
            </w:rPr>
          </w:pPr>
          <w:hyperlink w:anchor="_Toc65745146" w:history="1">
            <w:r w:rsidR="009735BD" w:rsidRPr="000A0EE3">
              <w:rPr>
                <w:rStyle w:val="Lienhypertexte"/>
                <w:lang w:val="fr-BE"/>
              </w:rPr>
              <w:t>3</w:t>
            </w:r>
            <w:r w:rsidR="009735BD">
              <w:rPr>
                <w:rFonts w:asciiTheme="minorHAnsi" w:eastAsiaTheme="minorEastAsia" w:hAnsiTheme="minorHAnsi" w:cstheme="minorBidi"/>
                <w:b w:val="0"/>
                <w:bCs w:val="0"/>
                <w:iCs w:val="0"/>
                <w:lang w:val="fr-BE" w:eastAsia="fr-BE"/>
              </w:rPr>
              <w:tab/>
            </w:r>
            <w:r w:rsidR="009735BD" w:rsidRPr="000A0EE3">
              <w:rPr>
                <w:rStyle w:val="Lienhypertexte"/>
                <w:lang w:val="fr-BE"/>
              </w:rPr>
              <w:t>Annexe 3 : Formulaire de demande de NFS et communication du résultat par le GRD</w:t>
            </w:r>
            <w:r w:rsidR="009735BD">
              <w:rPr>
                <w:webHidden/>
              </w:rPr>
              <w:tab/>
            </w:r>
            <w:r w:rsidR="009735BD">
              <w:rPr>
                <w:webHidden/>
              </w:rPr>
              <w:fldChar w:fldCharType="begin"/>
            </w:r>
            <w:r w:rsidR="009735BD">
              <w:rPr>
                <w:webHidden/>
              </w:rPr>
              <w:instrText xml:space="preserve"> PAGEREF _Toc65745146 \h </w:instrText>
            </w:r>
            <w:r w:rsidR="009735BD">
              <w:rPr>
                <w:webHidden/>
              </w:rPr>
            </w:r>
            <w:r w:rsidR="009735BD">
              <w:rPr>
                <w:webHidden/>
              </w:rPr>
              <w:fldChar w:fldCharType="separate"/>
            </w:r>
            <w:r w:rsidR="009735BD">
              <w:rPr>
                <w:webHidden/>
              </w:rPr>
              <w:t>8</w:t>
            </w:r>
            <w:r w:rsidR="009735BD">
              <w:rPr>
                <w:webHidden/>
              </w:rPr>
              <w:fldChar w:fldCharType="end"/>
            </w:r>
          </w:hyperlink>
        </w:p>
        <w:p w14:paraId="2C721FD8" w14:textId="1E9EE54C" w:rsidR="009735BD" w:rsidRDefault="0053724B">
          <w:pPr>
            <w:pStyle w:val="TM1"/>
            <w:rPr>
              <w:rFonts w:asciiTheme="minorHAnsi" w:eastAsiaTheme="minorEastAsia" w:hAnsiTheme="minorHAnsi" w:cstheme="minorBidi"/>
              <w:b w:val="0"/>
              <w:bCs w:val="0"/>
              <w:iCs w:val="0"/>
              <w:lang w:val="fr-BE" w:eastAsia="fr-BE"/>
            </w:rPr>
          </w:pPr>
          <w:hyperlink w:anchor="_Toc65745147" w:history="1">
            <w:r w:rsidR="009735BD" w:rsidRPr="000A0EE3">
              <w:rPr>
                <w:rStyle w:val="Lienhypertexte"/>
                <w:lang w:val="fr-BE"/>
              </w:rPr>
              <w:t>4</w:t>
            </w:r>
            <w:r w:rsidR="009735BD">
              <w:rPr>
                <w:rFonts w:asciiTheme="minorHAnsi" w:eastAsiaTheme="minorEastAsia" w:hAnsiTheme="minorHAnsi" w:cstheme="minorBidi"/>
                <w:b w:val="0"/>
                <w:bCs w:val="0"/>
                <w:iCs w:val="0"/>
                <w:lang w:val="fr-BE" w:eastAsia="fr-BE"/>
              </w:rPr>
              <w:tab/>
            </w:r>
            <w:r w:rsidR="009735BD" w:rsidRPr="000A0EE3">
              <w:rPr>
                <w:rStyle w:val="Lienhypertexte"/>
                <w:lang w:val="fr-BE"/>
              </w:rPr>
              <w:t>Annexe 4 (annexe informative)</w:t>
            </w:r>
            <w:r w:rsidR="009735BD">
              <w:rPr>
                <w:webHidden/>
              </w:rPr>
              <w:tab/>
            </w:r>
            <w:r w:rsidR="009735BD">
              <w:rPr>
                <w:webHidden/>
              </w:rPr>
              <w:fldChar w:fldCharType="begin"/>
            </w:r>
            <w:r w:rsidR="009735BD">
              <w:rPr>
                <w:webHidden/>
              </w:rPr>
              <w:instrText xml:space="preserve"> PAGEREF _Toc65745147 \h </w:instrText>
            </w:r>
            <w:r w:rsidR="009735BD">
              <w:rPr>
                <w:webHidden/>
              </w:rPr>
            </w:r>
            <w:r w:rsidR="009735BD">
              <w:rPr>
                <w:webHidden/>
              </w:rPr>
              <w:fldChar w:fldCharType="separate"/>
            </w:r>
            <w:r w:rsidR="009735BD">
              <w:rPr>
                <w:webHidden/>
              </w:rPr>
              <w:t>9</w:t>
            </w:r>
            <w:r w:rsidR="009735BD">
              <w:rPr>
                <w:webHidden/>
              </w:rPr>
              <w:fldChar w:fldCharType="end"/>
            </w:r>
          </w:hyperlink>
        </w:p>
        <w:p w14:paraId="230D1605" w14:textId="313C673A" w:rsidR="006032A6" w:rsidRDefault="006032A6">
          <w:r>
            <w:fldChar w:fldCharType="end"/>
          </w:r>
        </w:p>
      </w:sdtContent>
    </w:sdt>
    <w:p w14:paraId="48129316" w14:textId="77777777" w:rsidR="00C71D0C" w:rsidRDefault="00C71D0C"/>
    <w:p w14:paraId="1023AF52" w14:textId="77777777" w:rsidR="004A7300" w:rsidRPr="004A7300" w:rsidRDefault="004A7300" w:rsidP="004A7300">
      <w:pPr>
        <w:rPr>
          <w:lang w:val="fr-BE" w:eastAsia="ja-JP"/>
        </w:rPr>
        <w:sectPr w:rsidR="004A7300" w:rsidRPr="004A7300" w:rsidSect="00974317">
          <w:pgSz w:w="11906" w:h="16838"/>
          <w:pgMar w:top="1134" w:right="1134" w:bottom="1134" w:left="1134" w:header="708" w:footer="708" w:gutter="0"/>
          <w:cols w:space="708"/>
          <w:titlePg/>
          <w:docGrid w:linePitch="360"/>
        </w:sectPr>
      </w:pPr>
    </w:p>
    <w:p w14:paraId="1361BD81" w14:textId="77777777" w:rsidR="003F5C9B" w:rsidRPr="006032A6" w:rsidRDefault="00CE165F" w:rsidP="00402922">
      <w:pPr>
        <w:pStyle w:val="Titre1"/>
        <w:numPr>
          <w:ilvl w:val="0"/>
          <w:numId w:val="20"/>
        </w:numPr>
      </w:pPr>
      <w:bookmarkStart w:id="0" w:name="_Toc65745134"/>
      <w:bookmarkStart w:id="1" w:name="_Toc84998197"/>
      <w:bookmarkStart w:id="2" w:name="_Toc338773427"/>
      <w:bookmarkStart w:id="3" w:name="_Toc351378921"/>
      <w:r w:rsidRPr="000C4BED">
        <w:lastRenderedPageBreak/>
        <w:t>Terminologie</w:t>
      </w:r>
      <w:bookmarkEnd w:id="0"/>
    </w:p>
    <w:bookmarkEnd w:id="1"/>
    <w:bookmarkEnd w:id="2"/>
    <w:bookmarkEnd w:id="3"/>
    <w:p w14:paraId="27AFBF21" w14:textId="00445437" w:rsidR="00F0465E" w:rsidRDefault="00F0465E" w:rsidP="000C4BED">
      <w:pPr>
        <w:pStyle w:val="Paragraphedeliste"/>
        <w:numPr>
          <w:ilvl w:val="0"/>
          <w:numId w:val="3"/>
        </w:numPr>
        <w:autoSpaceDE w:val="0"/>
        <w:autoSpaceDN w:val="0"/>
        <w:adjustRightInd w:val="0"/>
        <w:spacing w:before="240"/>
        <w:rPr>
          <w:rFonts w:cs="Arial"/>
          <w:szCs w:val="20"/>
          <w:lang w:val="fr-BE"/>
        </w:rPr>
      </w:pPr>
      <w:r w:rsidRPr="009741F5">
        <w:rPr>
          <w:rFonts w:cs="Arial"/>
          <w:b/>
          <w:szCs w:val="20"/>
          <w:lang w:val="fr-BE"/>
        </w:rPr>
        <w:t>Flexibilité</w:t>
      </w:r>
      <w:r w:rsidR="006A52C3">
        <w:rPr>
          <w:rFonts w:cs="Arial"/>
          <w:b/>
          <w:szCs w:val="20"/>
          <w:lang w:val="fr-BE"/>
        </w:rPr>
        <w:t xml:space="preserve"> </w:t>
      </w:r>
      <w:r w:rsidR="00E133A2" w:rsidRPr="009741F5">
        <w:rPr>
          <w:rFonts w:cs="Arial"/>
          <w:b/>
          <w:szCs w:val="20"/>
          <w:lang w:val="fr-BE"/>
        </w:rPr>
        <w:t xml:space="preserve">: </w:t>
      </w:r>
      <w:r w:rsidR="00E133A2" w:rsidRPr="009741F5">
        <w:rPr>
          <w:rFonts w:cs="Arial"/>
          <w:szCs w:val="20"/>
          <w:lang w:val="fr-BE"/>
        </w:rPr>
        <w:t xml:space="preserve">La flexibilité est la </w:t>
      </w:r>
      <w:r w:rsidR="0063732F">
        <w:rPr>
          <w:rFonts w:cs="Arial"/>
          <w:szCs w:val="20"/>
          <w:lang w:val="fr-BE"/>
        </w:rPr>
        <w:t>modification du profil de production, d’injection, de consommation ou de prélèvement d’énergie en réaction à un signal externe afin soit de fournir un service au système électrique, soit d’obtenir un avantage financier</w:t>
      </w:r>
      <w:r w:rsidR="00E21E1A">
        <w:rPr>
          <w:rFonts w:cs="Arial"/>
          <w:szCs w:val="20"/>
          <w:lang w:val="fr-BE"/>
        </w:rPr>
        <w:t xml:space="preserve">. </w:t>
      </w:r>
      <w:r w:rsidR="00370906">
        <w:rPr>
          <w:rFonts w:cs="Arial"/>
          <w:szCs w:val="20"/>
          <w:lang w:val="fr-BE"/>
        </w:rPr>
        <w:t xml:space="preserve">Dans le cadre de ce document, la flexibilité doit </w:t>
      </w:r>
      <w:r w:rsidR="00A952FF">
        <w:rPr>
          <w:rFonts w:cs="Arial"/>
          <w:szCs w:val="20"/>
          <w:lang w:val="fr-BE"/>
        </w:rPr>
        <w:t>ê</w:t>
      </w:r>
      <w:r w:rsidR="00370906">
        <w:rPr>
          <w:rFonts w:cs="Arial"/>
          <w:szCs w:val="20"/>
          <w:lang w:val="fr-BE"/>
        </w:rPr>
        <w:t>tre comprise comme l’ensemble des services de flexibilité repris</w:t>
      </w:r>
      <w:r w:rsidR="00A952FF">
        <w:rPr>
          <w:rFonts w:cs="Arial"/>
          <w:szCs w:val="20"/>
          <w:lang w:val="fr-BE"/>
        </w:rPr>
        <w:t xml:space="preserve"> dans le catalogue de</w:t>
      </w:r>
      <w:r w:rsidR="00176DF3">
        <w:rPr>
          <w:rFonts w:cs="Arial"/>
          <w:szCs w:val="20"/>
          <w:lang w:val="fr-BE"/>
        </w:rPr>
        <w:t xml:space="preserve"> services à l’annexe 1 au contrat entre le FSP et le GRD.</w:t>
      </w:r>
    </w:p>
    <w:p w14:paraId="7CB64F9B" w14:textId="1168A5BC" w:rsidR="00394D8A" w:rsidRPr="00394D8A" w:rsidRDefault="00A95CA0" w:rsidP="00CB7AB7">
      <w:pPr>
        <w:pStyle w:val="Paragraphedeliste"/>
        <w:numPr>
          <w:ilvl w:val="0"/>
          <w:numId w:val="3"/>
        </w:numPr>
        <w:autoSpaceDE w:val="0"/>
        <w:autoSpaceDN w:val="0"/>
        <w:adjustRightInd w:val="0"/>
        <w:rPr>
          <w:rFonts w:cs="Arial"/>
          <w:szCs w:val="20"/>
          <w:lang w:val="fr-BE"/>
        </w:rPr>
      </w:pPr>
      <w:r>
        <w:rPr>
          <w:rFonts w:cs="Arial"/>
          <w:b/>
          <w:szCs w:val="20"/>
          <w:lang w:val="fr-BE"/>
        </w:rPr>
        <w:t>Service</w:t>
      </w:r>
      <w:r w:rsidR="00394D8A" w:rsidRPr="00394D8A">
        <w:rPr>
          <w:rFonts w:cs="Arial"/>
          <w:b/>
          <w:szCs w:val="20"/>
          <w:lang w:val="fr-BE"/>
        </w:rPr>
        <w:t xml:space="preserve"> de flexibilité</w:t>
      </w:r>
      <w:r w:rsidR="00394D8A">
        <w:rPr>
          <w:rFonts w:cs="Arial"/>
          <w:szCs w:val="20"/>
          <w:lang w:val="fr-BE"/>
        </w:rPr>
        <w:t xml:space="preserve"> : </w:t>
      </w:r>
      <w:r w:rsidR="00885140">
        <w:rPr>
          <w:rFonts w:cs="Arial"/>
          <w:szCs w:val="20"/>
          <w:lang w:val="fr-BE"/>
        </w:rPr>
        <w:t>Service repris dans la liste des Servi</w:t>
      </w:r>
      <w:r w:rsidR="00690FBB">
        <w:rPr>
          <w:rFonts w:cs="Arial"/>
          <w:szCs w:val="20"/>
          <w:lang w:val="fr-BE"/>
        </w:rPr>
        <w:t>c</w:t>
      </w:r>
      <w:r w:rsidR="00885140">
        <w:rPr>
          <w:rFonts w:cs="Arial"/>
          <w:szCs w:val="20"/>
          <w:lang w:val="fr-BE"/>
        </w:rPr>
        <w:t>es de flexibilité</w:t>
      </w:r>
      <w:r w:rsidR="00690FBB">
        <w:rPr>
          <w:rFonts w:cs="Arial"/>
          <w:szCs w:val="20"/>
          <w:lang w:val="fr-BE"/>
        </w:rPr>
        <w:t xml:space="preserve"> </w:t>
      </w:r>
      <w:r w:rsidR="002A2533">
        <w:rPr>
          <w:rFonts w:cs="Arial"/>
          <w:szCs w:val="20"/>
          <w:lang w:val="fr-BE"/>
        </w:rPr>
        <w:t xml:space="preserve">dans le catalogue </w:t>
      </w:r>
      <w:r w:rsidR="00406075">
        <w:rPr>
          <w:rFonts w:cs="Arial"/>
          <w:szCs w:val="20"/>
          <w:lang w:val="fr-BE"/>
        </w:rPr>
        <w:t>des services (</w:t>
      </w:r>
      <w:r w:rsidR="00690FBB">
        <w:rPr>
          <w:rFonts w:cs="Arial"/>
          <w:szCs w:val="20"/>
          <w:lang w:val="fr-BE"/>
        </w:rPr>
        <w:t>annexe 1</w:t>
      </w:r>
      <w:r w:rsidR="00406075">
        <w:rPr>
          <w:rFonts w:cs="Arial"/>
          <w:szCs w:val="20"/>
          <w:lang w:val="fr-BE"/>
        </w:rPr>
        <w:t>)</w:t>
      </w:r>
      <w:r w:rsidR="00690FBB">
        <w:rPr>
          <w:rFonts w:cs="Arial"/>
          <w:szCs w:val="20"/>
          <w:lang w:val="fr-BE"/>
        </w:rPr>
        <w:t xml:space="preserve"> </w:t>
      </w:r>
      <w:r w:rsidR="00026200">
        <w:rPr>
          <w:rFonts w:cs="Arial"/>
          <w:szCs w:val="20"/>
          <w:lang w:val="fr-BE"/>
        </w:rPr>
        <w:t>du contrat de flexibilité entre le FSP et GRD</w:t>
      </w:r>
      <w:r w:rsidR="00CB4FC3">
        <w:rPr>
          <w:rFonts w:cs="Arial"/>
          <w:szCs w:val="20"/>
          <w:lang w:val="fr-BE"/>
        </w:rPr>
        <w:t xml:space="preserve"> (contrat FSP-GRD)</w:t>
      </w:r>
      <w:r w:rsidR="00406075">
        <w:rPr>
          <w:rFonts w:cs="Arial"/>
          <w:szCs w:val="20"/>
          <w:lang w:val="fr-BE"/>
        </w:rPr>
        <w:t>.</w:t>
      </w:r>
      <w:r w:rsidR="00026200">
        <w:rPr>
          <w:rFonts w:cs="Arial"/>
          <w:szCs w:val="20"/>
          <w:lang w:val="fr-BE"/>
        </w:rPr>
        <w:t xml:space="preserve"> </w:t>
      </w:r>
    </w:p>
    <w:p w14:paraId="7918E39E" w14:textId="2FFD219C" w:rsidR="00465F85" w:rsidRDefault="00406075" w:rsidP="00CB7AB7">
      <w:pPr>
        <w:pStyle w:val="Paragraphedeliste"/>
        <w:numPr>
          <w:ilvl w:val="0"/>
          <w:numId w:val="3"/>
        </w:numPr>
        <w:autoSpaceDE w:val="0"/>
        <w:autoSpaceDN w:val="0"/>
        <w:adjustRightInd w:val="0"/>
        <w:rPr>
          <w:rFonts w:cs="Arial"/>
          <w:szCs w:val="20"/>
          <w:lang w:val="fr-BE"/>
        </w:rPr>
      </w:pPr>
      <w:r>
        <w:rPr>
          <w:rFonts w:cs="Arial"/>
          <w:b/>
          <w:szCs w:val="20"/>
          <w:lang w:val="fr-BE"/>
        </w:rPr>
        <w:t xml:space="preserve">Prestataire </w:t>
      </w:r>
      <w:r w:rsidR="001E1A8D">
        <w:rPr>
          <w:rFonts w:cs="Arial"/>
          <w:b/>
          <w:szCs w:val="20"/>
          <w:lang w:val="fr-BE"/>
        </w:rPr>
        <w:t xml:space="preserve">de service de flexibilité </w:t>
      </w:r>
      <w:r w:rsidR="002E346F" w:rsidRPr="009741F5">
        <w:rPr>
          <w:rFonts w:cs="Arial"/>
          <w:b/>
          <w:szCs w:val="20"/>
          <w:lang w:val="fr-BE"/>
        </w:rPr>
        <w:t>(</w:t>
      </w:r>
      <w:r w:rsidR="00BD395D">
        <w:rPr>
          <w:rFonts w:cs="Arial"/>
          <w:b/>
          <w:szCs w:val="20"/>
          <w:lang w:val="fr-BE"/>
        </w:rPr>
        <w:t>FSP</w:t>
      </w:r>
      <w:r w:rsidR="002E346F" w:rsidRPr="009741F5">
        <w:rPr>
          <w:rFonts w:cs="Arial"/>
          <w:b/>
          <w:szCs w:val="20"/>
          <w:lang w:val="fr-BE"/>
        </w:rPr>
        <w:t>) :</w:t>
      </w:r>
      <w:r w:rsidR="00465F85" w:rsidRPr="009741F5">
        <w:rPr>
          <w:rFonts w:cs="Arial"/>
          <w:szCs w:val="20"/>
          <w:lang w:val="fr-BE"/>
        </w:rPr>
        <w:t xml:space="preserve"> </w:t>
      </w:r>
      <w:r w:rsidR="00161465" w:rsidRPr="00161465">
        <w:rPr>
          <w:lang w:val="fr-BE"/>
        </w:rPr>
        <w:t xml:space="preserve"> </w:t>
      </w:r>
      <w:r w:rsidR="00161465">
        <w:rPr>
          <w:lang w:val="fr-BE"/>
        </w:rPr>
        <w:t xml:space="preserve">Acteur de marché délivrant un ou des Services de flexibilité via un ou plusieurs </w:t>
      </w:r>
      <w:r w:rsidR="00D77069">
        <w:rPr>
          <w:lang w:val="fr-BE"/>
        </w:rPr>
        <w:t>P</w:t>
      </w:r>
      <w:r w:rsidR="00161465">
        <w:rPr>
          <w:lang w:val="fr-BE"/>
        </w:rPr>
        <w:t>oints de livraison de service de flexibilité. Le FSP est un Prestataire de service de flexibilité.</w:t>
      </w:r>
    </w:p>
    <w:p w14:paraId="61DC759D" w14:textId="193EEBC9" w:rsidR="00A818FD" w:rsidRDefault="00A818FD" w:rsidP="00A818FD">
      <w:pPr>
        <w:pStyle w:val="Paragraphedeliste"/>
        <w:widowControl w:val="0"/>
        <w:numPr>
          <w:ilvl w:val="0"/>
          <w:numId w:val="3"/>
        </w:numPr>
        <w:contextualSpacing w:val="0"/>
        <w:rPr>
          <w:lang w:val="fr-BE"/>
        </w:rPr>
      </w:pPr>
      <w:r w:rsidRPr="008550DB">
        <w:rPr>
          <w:b/>
          <w:lang w:val="fr-BE"/>
        </w:rPr>
        <w:t xml:space="preserve">Point de livraison de service de </w:t>
      </w:r>
      <w:r w:rsidRPr="008550DB">
        <w:rPr>
          <w:b/>
          <w:color w:val="000000" w:themeColor="text1"/>
          <w:lang w:val="fr-BE"/>
        </w:rPr>
        <w:t>flexibilité</w:t>
      </w:r>
      <w:r w:rsidRPr="008550DB">
        <w:rPr>
          <w:color w:val="000000" w:themeColor="text1"/>
          <w:lang w:val="fr-BE"/>
        </w:rPr>
        <w:t xml:space="preserve"> (SDP-F)</w:t>
      </w:r>
      <w:r w:rsidR="001215F3">
        <w:rPr>
          <w:color w:val="000000" w:themeColor="text1"/>
          <w:lang w:val="fr-BE"/>
        </w:rPr>
        <w:t> :</w:t>
      </w:r>
      <w:r w:rsidRPr="008550DB">
        <w:rPr>
          <w:color w:val="000000" w:themeColor="text1"/>
          <w:lang w:val="fr-BE"/>
        </w:rPr>
        <w:t xml:space="preserve"> </w:t>
      </w:r>
      <w:r w:rsidR="001215F3">
        <w:rPr>
          <w:color w:val="000000" w:themeColor="text1"/>
          <w:lang w:val="fr-BE"/>
        </w:rPr>
        <w:t>E</w:t>
      </w:r>
      <w:r w:rsidRPr="008550DB">
        <w:rPr>
          <w:lang w:val="fr-BE"/>
        </w:rPr>
        <w:t xml:space="preserve">lément, lié à un point de raccordement, qui peut </w:t>
      </w:r>
      <w:r>
        <w:rPr>
          <w:lang w:val="fr-BE"/>
        </w:rPr>
        <w:t>être utilisé dans le cadre d’un ou plusieurs Services de flexibilité. Il</w:t>
      </w:r>
      <w:r w:rsidRPr="008550DB">
        <w:rPr>
          <w:lang w:val="fr-BE"/>
        </w:rPr>
        <w:t xml:space="preserve"> est </w:t>
      </w:r>
      <w:r>
        <w:rPr>
          <w:lang w:val="fr-BE"/>
        </w:rPr>
        <w:t xml:space="preserve">matérialisé </w:t>
      </w:r>
      <w:r w:rsidRPr="008550DB">
        <w:rPr>
          <w:lang w:val="fr-BE"/>
        </w:rPr>
        <w:t>par le point de mesure utilisé pour le contrôle</w:t>
      </w:r>
      <w:r>
        <w:rPr>
          <w:lang w:val="fr-BE"/>
        </w:rPr>
        <w:t xml:space="preserve"> et/ou le calcul</w:t>
      </w:r>
      <w:r w:rsidRPr="008550DB">
        <w:rPr>
          <w:lang w:val="fr-BE"/>
        </w:rPr>
        <w:t xml:space="preserve"> de la disponibilité et/ou de l’activation </w:t>
      </w:r>
      <w:r>
        <w:rPr>
          <w:lang w:val="fr-BE"/>
        </w:rPr>
        <w:t>de la flexibilité dans le cadre des Services de flexibilité</w:t>
      </w:r>
      <w:r w:rsidR="002F1349">
        <w:rPr>
          <w:lang w:val="fr-BE"/>
        </w:rPr>
        <w:t>.</w:t>
      </w:r>
      <w:r>
        <w:rPr>
          <w:lang w:val="fr-BE"/>
        </w:rPr>
        <w:t xml:space="preserve"> </w:t>
      </w:r>
    </w:p>
    <w:p w14:paraId="4AE11D68" w14:textId="53BE808C" w:rsidR="00D54551" w:rsidRPr="00D54551" w:rsidRDefault="00D54551" w:rsidP="00CB7AB7">
      <w:pPr>
        <w:pStyle w:val="Paragraphedeliste"/>
        <w:numPr>
          <w:ilvl w:val="0"/>
          <w:numId w:val="3"/>
        </w:numPr>
        <w:autoSpaceDE w:val="0"/>
        <w:autoSpaceDN w:val="0"/>
        <w:adjustRightInd w:val="0"/>
        <w:rPr>
          <w:rFonts w:cs="Arial"/>
          <w:b/>
          <w:szCs w:val="20"/>
          <w:lang w:val="fr-BE"/>
        </w:rPr>
      </w:pPr>
      <w:r w:rsidRPr="00D54551">
        <w:rPr>
          <w:rFonts w:cs="Arial"/>
          <w:b/>
          <w:szCs w:val="20"/>
          <w:lang w:val="fr-BE"/>
        </w:rPr>
        <w:t>Point de raccordement</w:t>
      </w:r>
      <w:r>
        <w:rPr>
          <w:rFonts w:cs="Arial"/>
          <w:b/>
          <w:szCs w:val="20"/>
          <w:lang w:val="fr-BE"/>
        </w:rPr>
        <w:t> :</w:t>
      </w:r>
      <w:r w:rsidR="00D32E46">
        <w:rPr>
          <w:rFonts w:cs="Arial"/>
          <w:szCs w:val="20"/>
          <w:lang w:val="fr-BE"/>
        </w:rPr>
        <w:t xml:space="preserve"> Voir règlement technique. Le point de raccordement est ide</w:t>
      </w:r>
      <w:r>
        <w:rPr>
          <w:rFonts w:cs="Arial"/>
          <w:szCs w:val="20"/>
          <w:lang w:val="fr-BE"/>
        </w:rPr>
        <w:t>ntifié par un EAN de prélèvement et, le cas échéant, par un EAN d’injection.</w:t>
      </w:r>
    </w:p>
    <w:p w14:paraId="3932061C" w14:textId="64026649" w:rsidR="00787C96" w:rsidRPr="00BD395D" w:rsidRDefault="00BD395D" w:rsidP="00CB7AB7">
      <w:pPr>
        <w:pStyle w:val="Paragraphedeliste"/>
        <w:numPr>
          <w:ilvl w:val="0"/>
          <w:numId w:val="3"/>
        </w:numPr>
        <w:autoSpaceDE w:val="0"/>
        <w:autoSpaceDN w:val="0"/>
        <w:adjustRightInd w:val="0"/>
        <w:rPr>
          <w:rFonts w:cs="Arial"/>
          <w:szCs w:val="20"/>
          <w:lang w:val="fr-BE"/>
        </w:rPr>
      </w:pPr>
      <w:r w:rsidRPr="00D7308F">
        <w:rPr>
          <w:rFonts w:cs="Arial"/>
          <w:b/>
          <w:szCs w:val="20"/>
          <w:lang w:val="fr-BE"/>
        </w:rPr>
        <w:t xml:space="preserve">Network Flex </w:t>
      </w:r>
      <w:proofErr w:type="spellStart"/>
      <w:r w:rsidRPr="00D7308F">
        <w:rPr>
          <w:rFonts w:cs="Arial"/>
          <w:b/>
          <w:szCs w:val="20"/>
          <w:lang w:val="fr-BE"/>
        </w:rPr>
        <w:t>Study</w:t>
      </w:r>
      <w:proofErr w:type="spellEnd"/>
      <w:r w:rsidRPr="00D7308F">
        <w:rPr>
          <w:rFonts w:cs="Arial"/>
          <w:b/>
          <w:szCs w:val="20"/>
          <w:lang w:val="fr-BE"/>
        </w:rPr>
        <w:t xml:space="preserve"> (NFS) :</w:t>
      </w:r>
      <w:r>
        <w:rPr>
          <w:rFonts w:cs="Arial"/>
          <w:szCs w:val="20"/>
          <w:lang w:val="fr-BE"/>
        </w:rPr>
        <w:t xml:space="preserve"> </w:t>
      </w:r>
      <w:r w:rsidR="00787C96">
        <w:rPr>
          <w:lang w:val="fr-BE"/>
        </w:rPr>
        <w:t xml:space="preserve">la vérification de l’impact </w:t>
      </w:r>
      <w:r w:rsidR="00D7308F">
        <w:rPr>
          <w:lang w:val="fr-BE"/>
        </w:rPr>
        <w:t xml:space="preserve">potentiel </w:t>
      </w:r>
      <w:r w:rsidR="00787C96">
        <w:rPr>
          <w:lang w:val="fr-BE"/>
        </w:rPr>
        <w:t xml:space="preserve">de la flexibilité sur </w:t>
      </w:r>
      <w:r w:rsidR="00911DEE">
        <w:rPr>
          <w:lang w:val="fr-BE"/>
        </w:rPr>
        <w:t>les L</w:t>
      </w:r>
      <w:r w:rsidR="005C4308">
        <w:rPr>
          <w:lang w:val="fr-BE"/>
        </w:rPr>
        <w:t>imites de sécurité opérationnelle</w:t>
      </w:r>
      <w:r w:rsidR="00B21F4C">
        <w:rPr>
          <w:lang w:val="fr-BE"/>
        </w:rPr>
        <w:t>.</w:t>
      </w:r>
    </w:p>
    <w:p w14:paraId="4F212628" w14:textId="5DF9F7EB" w:rsidR="009F4993" w:rsidRPr="009F4993" w:rsidRDefault="009F4993" w:rsidP="00CB7AB7">
      <w:pPr>
        <w:pStyle w:val="Paragraphedeliste"/>
        <w:numPr>
          <w:ilvl w:val="0"/>
          <w:numId w:val="3"/>
        </w:numPr>
        <w:autoSpaceDE w:val="0"/>
        <w:autoSpaceDN w:val="0"/>
        <w:adjustRightInd w:val="0"/>
        <w:rPr>
          <w:rFonts w:cs="Arial"/>
          <w:szCs w:val="20"/>
          <w:lang w:val="fr-BE"/>
        </w:rPr>
      </w:pPr>
      <w:r w:rsidRPr="009F4993">
        <w:rPr>
          <w:rFonts w:cs="Arial"/>
          <w:b/>
          <w:szCs w:val="20"/>
          <w:lang w:val="fr-BE"/>
        </w:rPr>
        <w:t>Qualification</w:t>
      </w:r>
      <w:r>
        <w:rPr>
          <w:rFonts w:cs="Arial"/>
          <w:szCs w:val="20"/>
          <w:lang w:val="fr-BE"/>
        </w:rPr>
        <w:t> </w:t>
      </w:r>
      <w:r w:rsidR="00DE5137">
        <w:rPr>
          <w:rFonts w:cs="Arial"/>
          <w:szCs w:val="20"/>
          <w:lang w:val="fr-BE"/>
        </w:rPr>
        <w:t xml:space="preserve">d’un </w:t>
      </w:r>
      <w:r w:rsidR="00D32E46">
        <w:rPr>
          <w:rFonts w:cs="Arial"/>
          <w:szCs w:val="20"/>
          <w:lang w:val="fr-BE"/>
        </w:rPr>
        <w:t xml:space="preserve">point de raccordement </w:t>
      </w:r>
      <w:r>
        <w:rPr>
          <w:rFonts w:cs="Arial"/>
          <w:szCs w:val="20"/>
          <w:lang w:val="fr-BE"/>
        </w:rPr>
        <w:t>:</w:t>
      </w:r>
      <w:r w:rsidR="00DE5137">
        <w:rPr>
          <w:rFonts w:cs="Arial"/>
          <w:szCs w:val="20"/>
          <w:lang w:val="fr-BE"/>
        </w:rPr>
        <w:t xml:space="preserve"> </w:t>
      </w:r>
      <w:r w:rsidR="00DA5B24">
        <w:rPr>
          <w:rFonts w:cs="Arial"/>
          <w:szCs w:val="20"/>
          <w:lang w:val="fr-BE"/>
        </w:rPr>
        <w:t>D</w:t>
      </w:r>
      <w:r w:rsidR="00CE165F">
        <w:rPr>
          <w:rFonts w:cs="Arial"/>
          <w:szCs w:val="20"/>
          <w:lang w:val="fr-BE"/>
        </w:rPr>
        <w:t xml:space="preserve">roit </w:t>
      </w:r>
      <w:r w:rsidR="00CE165F" w:rsidRPr="00C33782">
        <w:rPr>
          <w:rFonts w:cs="Arial"/>
          <w:szCs w:val="20"/>
          <w:lang w:val="fr-BE"/>
        </w:rPr>
        <w:t>(éventuellement</w:t>
      </w:r>
      <w:r w:rsidR="00CE165F">
        <w:rPr>
          <w:rFonts w:cs="Arial"/>
          <w:szCs w:val="20"/>
          <w:lang w:val="fr-BE"/>
        </w:rPr>
        <w:t xml:space="preserve"> sous contrainte) </w:t>
      </w:r>
      <w:r w:rsidR="00911DEE">
        <w:rPr>
          <w:rFonts w:cs="Arial"/>
          <w:szCs w:val="20"/>
          <w:lang w:val="fr-BE"/>
        </w:rPr>
        <w:t xml:space="preserve">d’être repris dans la liste </w:t>
      </w:r>
      <w:r w:rsidR="00911DEE" w:rsidRPr="005C4308">
        <w:rPr>
          <w:rFonts w:cs="Arial"/>
          <w:szCs w:val="20"/>
          <w:lang w:val="fr-BE" w:eastAsia="en-US"/>
        </w:rPr>
        <w:t xml:space="preserve">des </w:t>
      </w:r>
      <w:r w:rsidR="00415F4E">
        <w:rPr>
          <w:rFonts w:cs="Arial"/>
          <w:szCs w:val="20"/>
          <w:lang w:val="fr-BE" w:eastAsia="en-US"/>
        </w:rPr>
        <w:t>P</w:t>
      </w:r>
      <w:r w:rsidR="00911DEE" w:rsidRPr="005C4308">
        <w:rPr>
          <w:rFonts w:cs="Arial"/>
          <w:szCs w:val="20"/>
          <w:lang w:val="fr-BE" w:eastAsia="en-US"/>
        </w:rPr>
        <w:t xml:space="preserve">oints </w:t>
      </w:r>
      <w:r w:rsidR="00415F4E">
        <w:rPr>
          <w:rFonts w:cs="Arial"/>
          <w:szCs w:val="20"/>
          <w:lang w:val="fr-BE" w:eastAsia="en-US"/>
        </w:rPr>
        <w:t xml:space="preserve">de livraison de service de flexibilité </w:t>
      </w:r>
      <w:r w:rsidR="00911DEE">
        <w:rPr>
          <w:rFonts w:cs="Arial"/>
          <w:szCs w:val="20"/>
          <w:lang w:val="fr-BE" w:eastAsia="en-US"/>
        </w:rPr>
        <w:t xml:space="preserve">du portefeuille (pool) </w:t>
      </w:r>
      <w:r w:rsidR="00911DEE" w:rsidRPr="00DC1BB6">
        <w:rPr>
          <w:rFonts w:cs="Arial"/>
          <w:szCs w:val="20"/>
          <w:lang w:val="fr-BE" w:eastAsia="en-US"/>
        </w:rPr>
        <w:t>d’un</w:t>
      </w:r>
      <w:r w:rsidR="00911DEE" w:rsidRPr="005C4308">
        <w:rPr>
          <w:rFonts w:cs="Arial"/>
          <w:szCs w:val="20"/>
          <w:lang w:val="fr-BE" w:eastAsia="en-US"/>
        </w:rPr>
        <w:t xml:space="preserve"> FSP </w:t>
      </w:r>
      <w:r w:rsidR="005C4308">
        <w:rPr>
          <w:rFonts w:cs="Arial"/>
          <w:szCs w:val="20"/>
          <w:lang w:val="fr-BE"/>
        </w:rPr>
        <w:t xml:space="preserve">pour </w:t>
      </w:r>
      <w:r w:rsidR="00CE165F">
        <w:rPr>
          <w:rFonts w:cs="Arial"/>
          <w:szCs w:val="20"/>
          <w:lang w:val="fr-BE"/>
        </w:rPr>
        <w:t>un volume donné de flexibilité, suite à l’étude NFS</w:t>
      </w:r>
      <w:r w:rsidR="00E54293">
        <w:rPr>
          <w:rFonts w:cs="Arial"/>
          <w:szCs w:val="20"/>
          <w:lang w:val="fr-BE"/>
        </w:rPr>
        <w:t xml:space="preserve">. </w:t>
      </w:r>
    </w:p>
    <w:p w14:paraId="45C19908" w14:textId="7FA00557" w:rsidR="00BD395D" w:rsidRPr="009741F5" w:rsidRDefault="00BD395D" w:rsidP="00CB7AB7">
      <w:pPr>
        <w:pStyle w:val="Paragraphedeliste"/>
        <w:numPr>
          <w:ilvl w:val="0"/>
          <w:numId w:val="3"/>
        </w:numPr>
        <w:autoSpaceDE w:val="0"/>
        <w:autoSpaceDN w:val="0"/>
        <w:adjustRightInd w:val="0"/>
        <w:rPr>
          <w:rFonts w:cs="Arial"/>
          <w:b/>
          <w:szCs w:val="20"/>
          <w:lang w:val="fr-BE"/>
        </w:rPr>
      </w:pPr>
      <w:r>
        <w:rPr>
          <w:rFonts w:cs="Arial"/>
          <w:b/>
          <w:szCs w:val="20"/>
          <w:lang w:val="fr-BE"/>
        </w:rPr>
        <w:t>Période d’a</w:t>
      </w:r>
      <w:r w:rsidRPr="009741F5">
        <w:rPr>
          <w:rFonts w:cs="Arial"/>
          <w:b/>
          <w:szCs w:val="20"/>
          <w:lang w:val="fr-BE"/>
        </w:rPr>
        <w:t>ctivation</w:t>
      </w:r>
      <w:r w:rsidR="00594B26">
        <w:rPr>
          <w:rFonts w:cs="Arial"/>
          <w:b/>
          <w:szCs w:val="20"/>
          <w:lang w:val="fr-BE"/>
        </w:rPr>
        <w:t xml:space="preserve"> </w:t>
      </w:r>
      <w:r w:rsidRPr="009741F5">
        <w:rPr>
          <w:rFonts w:cs="Arial"/>
          <w:b/>
          <w:szCs w:val="20"/>
          <w:lang w:val="fr-BE"/>
        </w:rPr>
        <w:t>:</w:t>
      </w:r>
      <w:r w:rsidRPr="009741F5">
        <w:rPr>
          <w:rFonts w:cs="Arial"/>
          <w:szCs w:val="20"/>
          <w:lang w:val="fr-BE"/>
        </w:rPr>
        <w:t xml:space="preserve"> Suite à un </w:t>
      </w:r>
      <w:r w:rsidR="00977BB4">
        <w:rPr>
          <w:rFonts w:cs="Arial"/>
          <w:szCs w:val="20"/>
          <w:lang w:val="fr-BE"/>
        </w:rPr>
        <w:t>s</w:t>
      </w:r>
      <w:r w:rsidR="002748D3">
        <w:rPr>
          <w:rFonts w:cs="Arial"/>
          <w:szCs w:val="20"/>
          <w:lang w:val="fr-BE"/>
        </w:rPr>
        <w:t>ignal</w:t>
      </w:r>
      <w:r w:rsidR="002748D3" w:rsidRPr="009741F5">
        <w:rPr>
          <w:rFonts w:cs="Arial"/>
          <w:szCs w:val="20"/>
          <w:lang w:val="fr-BE"/>
        </w:rPr>
        <w:t xml:space="preserve"> </w:t>
      </w:r>
      <w:r w:rsidR="00B275AA">
        <w:rPr>
          <w:rFonts w:cs="Arial"/>
          <w:szCs w:val="20"/>
          <w:lang w:val="fr-BE"/>
        </w:rPr>
        <w:t>externe</w:t>
      </w:r>
      <w:r w:rsidRPr="009741F5">
        <w:rPr>
          <w:rFonts w:cs="Arial"/>
          <w:szCs w:val="20"/>
          <w:lang w:val="fr-BE"/>
        </w:rPr>
        <w:t xml:space="preserve">, période pendant laquelle la flexibilité est activée. Cette période est identifiée par un instant de début et un instant de fin. </w:t>
      </w:r>
      <w:r w:rsidR="00E54293">
        <w:rPr>
          <w:rFonts w:cs="Arial"/>
          <w:szCs w:val="20"/>
          <w:lang w:val="fr-BE"/>
        </w:rPr>
        <w:t>L</w:t>
      </w:r>
      <w:r>
        <w:rPr>
          <w:rFonts w:cs="Arial"/>
          <w:szCs w:val="20"/>
          <w:lang w:val="fr-BE"/>
        </w:rPr>
        <w:t xml:space="preserve">a récupération de l’énergie non consommée </w:t>
      </w:r>
      <w:r w:rsidR="004654E1">
        <w:rPr>
          <w:rFonts w:cs="Arial"/>
          <w:szCs w:val="20"/>
          <w:lang w:val="fr-BE"/>
        </w:rPr>
        <w:t xml:space="preserve">ou non produite </w:t>
      </w:r>
      <w:r w:rsidRPr="009741F5">
        <w:rPr>
          <w:rFonts w:cs="Arial"/>
          <w:szCs w:val="20"/>
          <w:lang w:val="fr-BE"/>
        </w:rPr>
        <w:t xml:space="preserve">ne fait pas partie de </w:t>
      </w:r>
      <w:r w:rsidR="004654E1">
        <w:rPr>
          <w:rFonts w:cs="Arial"/>
          <w:szCs w:val="20"/>
          <w:lang w:val="fr-BE"/>
        </w:rPr>
        <w:t>cette</w:t>
      </w:r>
      <w:r w:rsidR="00E54293">
        <w:rPr>
          <w:rFonts w:cs="Arial"/>
          <w:szCs w:val="20"/>
          <w:lang w:val="fr-BE"/>
        </w:rPr>
        <w:t xml:space="preserve"> période d’</w:t>
      </w:r>
      <w:r w:rsidRPr="009741F5">
        <w:rPr>
          <w:rFonts w:cs="Arial"/>
          <w:szCs w:val="20"/>
          <w:lang w:val="fr-BE"/>
        </w:rPr>
        <w:t>activation.</w:t>
      </w:r>
    </w:p>
    <w:p w14:paraId="2F18B334" w14:textId="402431F2" w:rsidR="00BD395D" w:rsidRPr="002031B9" w:rsidRDefault="00BD395D" w:rsidP="00CB7AB7">
      <w:pPr>
        <w:pStyle w:val="Paragraphedeliste"/>
        <w:numPr>
          <w:ilvl w:val="0"/>
          <w:numId w:val="3"/>
        </w:numPr>
        <w:autoSpaceDE w:val="0"/>
        <w:autoSpaceDN w:val="0"/>
        <w:adjustRightInd w:val="0"/>
        <w:rPr>
          <w:rFonts w:cs="Arial"/>
          <w:szCs w:val="20"/>
          <w:lang w:val="fr-BE"/>
        </w:rPr>
      </w:pPr>
      <w:r w:rsidRPr="002031B9">
        <w:rPr>
          <w:rFonts w:cs="Arial"/>
          <w:b/>
          <w:szCs w:val="20"/>
          <w:lang w:val="fr-BE"/>
        </w:rPr>
        <w:t>Effet rebond</w:t>
      </w:r>
      <w:r>
        <w:rPr>
          <w:rFonts w:cs="Arial"/>
          <w:szCs w:val="20"/>
          <w:lang w:val="fr-BE"/>
        </w:rPr>
        <w:t xml:space="preserve"> : </w:t>
      </w:r>
      <w:r w:rsidR="00DA5B24">
        <w:rPr>
          <w:rFonts w:cs="Arial"/>
          <w:szCs w:val="20"/>
          <w:lang w:val="fr-BE"/>
        </w:rPr>
        <w:t>I</w:t>
      </w:r>
      <w:r>
        <w:rPr>
          <w:rFonts w:cs="Arial"/>
          <w:szCs w:val="20"/>
          <w:lang w:val="fr-BE"/>
        </w:rPr>
        <w:t>mpact sur le réseau d</w:t>
      </w:r>
      <w:r w:rsidR="004D45E7">
        <w:rPr>
          <w:rFonts w:cs="Arial"/>
          <w:szCs w:val="20"/>
          <w:lang w:val="fr-BE"/>
        </w:rPr>
        <w:t xml:space="preserve">e la récupération de l’énergie non consommée ou non produite </w:t>
      </w:r>
      <w:r>
        <w:rPr>
          <w:rFonts w:cs="Arial"/>
          <w:szCs w:val="20"/>
          <w:lang w:val="fr-BE"/>
        </w:rPr>
        <w:t xml:space="preserve">de l’ensemble </w:t>
      </w:r>
      <w:r w:rsidR="00F0502D">
        <w:rPr>
          <w:rFonts w:cs="Arial"/>
          <w:szCs w:val="20"/>
          <w:lang w:val="fr-BE"/>
        </w:rPr>
        <w:t>de la flexibilité</w:t>
      </w:r>
      <w:r>
        <w:rPr>
          <w:rFonts w:cs="Arial"/>
          <w:szCs w:val="20"/>
          <w:lang w:val="fr-BE"/>
        </w:rPr>
        <w:t xml:space="preserve"> activée</w:t>
      </w:r>
      <w:r w:rsidR="00594B26">
        <w:rPr>
          <w:rFonts w:cs="Arial"/>
          <w:szCs w:val="20"/>
          <w:lang w:val="fr-BE"/>
        </w:rPr>
        <w:t>.</w:t>
      </w:r>
      <w:r>
        <w:rPr>
          <w:rFonts w:cs="Arial"/>
          <w:szCs w:val="20"/>
          <w:lang w:val="fr-BE"/>
        </w:rPr>
        <w:t xml:space="preserve"> </w:t>
      </w:r>
    </w:p>
    <w:p w14:paraId="619FAFED" w14:textId="04FA711C" w:rsidR="002031B9" w:rsidRDefault="002031B9" w:rsidP="00CB7AB7">
      <w:pPr>
        <w:pStyle w:val="Paragraphedeliste"/>
        <w:numPr>
          <w:ilvl w:val="0"/>
          <w:numId w:val="3"/>
        </w:numPr>
        <w:autoSpaceDE w:val="0"/>
        <w:autoSpaceDN w:val="0"/>
        <w:adjustRightInd w:val="0"/>
        <w:rPr>
          <w:rFonts w:cs="Arial"/>
          <w:szCs w:val="20"/>
          <w:lang w:val="fr-BE"/>
        </w:rPr>
      </w:pPr>
      <w:r w:rsidRPr="002031B9">
        <w:rPr>
          <w:rFonts w:cs="Arial"/>
          <w:b/>
          <w:szCs w:val="20"/>
          <w:lang w:val="fr-BE"/>
        </w:rPr>
        <w:t>Puissance activable</w:t>
      </w:r>
      <w:r>
        <w:rPr>
          <w:rFonts w:cs="Arial"/>
          <w:szCs w:val="20"/>
          <w:lang w:val="fr-BE"/>
        </w:rPr>
        <w:t> : Puissance flexible maximale pouvant être activée</w:t>
      </w:r>
      <w:r w:rsidR="002E49C7">
        <w:rPr>
          <w:rFonts w:cs="Arial"/>
          <w:szCs w:val="20"/>
          <w:lang w:val="fr-BE"/>
        </w:rPr>
        <w:t xml:space="preserve"> (autrement dit : e</w:t>
      </w:r>
      <w:r w:rsidR="002E49C7" w:rsidRPr="002E49C7">
        <w:rPr>
          <w:rFonts w:cs="Arial"/>
          <w:szCs w:val="20"/>
          <w:lang w:val="fr-BE"/>
        </w:rPr>
        <w:t xml:space="preserve">n cas d’activation de la flexibilité, de combien de kilowatt au maximum </w:t>
      </w:r>
      <w:r w:rsidR="002E49C7">
        <w:rPr>
          <w:rFonts w:cs="Arial"/>
          <w:szCs w:val="20"/>
          <w:lang w:val="fr-BE"/>
        </w:rPr>
        <w:t xml:space="preserve">le prélèvement </w:t>
      </w:r>
      <w:r w:rsidR="003B360D">
        <w:rPr>
          <w:rFonts w:cs="Arial"/>
          <w:szCs w:val="20"/>
          <w:lang w:val="fr-BE"/>
        </w:rPr>
        <w:t>ou l’injection ser</w:t>
      </w:r>
      <w:r w:rsidR="00997AA2">
        <w:rPr>
          <w:rFonts w:cs="Arial"/>
          <w:szCs w:val="20"/>
          <w:lang w:val="fr-BE"/>
        </w:rPr>
        <w:t>a</w:t>
      </w:r>
      <w:r w:rsidR="003B360D">
        <w:rPr>
          <w:rFonts w:cs="Arial"/>
          <w:szCs w:val="20"/>
          <w:lang w:val="fr-BE"/>
        </w:rPr>
        <w:t xml:space="preserve"> modifié</w:t>
      </w:r>
      <w:r w:rsidR="002E49C7">
        <w:rPr>
          <w:rFonts w:cs="Arial"/>
          <w:szCs w:val="20"/>
          <w:lang w:val="fr-BE"/>
        </w:rPr>
        <w:t>)</w:t>
      </w:r>
    </w:p>
    <w:p w14:paraId="44E79B93" w14:textId="57D5FE8E" w:rsidR="00233885" w:rsidRPr="00C63E18" w:rsidRDefault="00233885" w:rsidP="00C63E18">
      <w:pPr>
        <w:pStyle w:val="Paragraphedeliste"/>
        <w:numPr>
          <w:ilvl w:val="0"/>
          <w:numId w:val="3"/>
        </w:numPr>
        <w:rPr>
          <w:rFonts w:cs="Arial"/>
          <w:szCs w:val="20"/>
          <w:lang w:val="fr-BE"/>
        </w:rPr>
      </w:pPr>
      <w:r w:rsidRPr="0094227C">
        <w:rPr>
          <w:rFonts w:cs="Arial"/>
          <w:b/>
          <w:szCs w:val="20"/>
          <w:lang w:val="fr-BE"/>
        </w:rPr>
        <w:t>Limites de sécurité opérationnelle </w:t>
      </w:r>
      <w:r w:rsidRPr="0094227C">
        <w:rPr>
          <w:rFonts w:cs="Arial"/>
          <w:szCs w:val="20"/>
          <w:lang w:val="fr-BE"/>
        </w:rPr>
        <w:t>:</w:t>
      </w:r>
      <w:r w:rsidR="00BD6C3C" w:rsidRPr="0094227C">
        <w:rPr>
          <w:rFonts w:cs="Arial"/>
          <w:szCs w:val="20"/>
          <w:lang w:val="fr-BE"/>
        </w:rPr>
        <w:t xml:space="preserve"> </w:t>
      </w:r>
      <w:r w:rsidR="00565779" w:rsidRPr="0094227C">
        <w:rPr>
          <w:rFonts w:cs="Arial"/>
          <w:szCs w:val="20"/>
          <w:lang w:val="fr-BE"/>
        </w:rPr>
        <w:t>S</w:t>
      </w:r>
      <w:r w:rsidRPr="0094227C">
        <w:rPr>
          <w:rFonts w:cs="Arial"/>
          <w:szCs w:val="20"/>
          <w:lang w:val="fr-BE"/>
        </w:rPr>
        <w:t>euils acceptables d’un point de vue opérationnel </w:t>
      </w:r>
      <w:r w:rsidR="008A6844">
        <w:rPr>
          <w:rFonts w:cs="Arial"/>
          <w:szCs w:val="20"/>
          <w:lang w:val="fr-BE"/>
        </w:rPr>
        <w:t>(</w:t>
      </w:r>
      <w:r w:rsidRPr="0094227C">
        <w:rPr>
          <w:rFonts w:cs="Arial"/>
          <w:szCs w:val="20"/>
          <w:lang w:val="fr-BE"/>
        </w:rPr>
        <w:t xml:space="preserve">limites thermiques, </w:t>
      </w:r>
      <w:r w:rsidR="00C13DB8" w:rsidRPr="0094227C">
        <w:rPr>
          <w:rFonts w:cs="Arial"/>
          <w:szCs w:val="20"/>
          <w:lang w:val="fr-BE"/>
        </w:rPr>
        <w:t xml:space="preserve">qualité </w:t>
      </w:r>
      <w:r w:rsidRPr="0094227C">
        <w:rPr>
          <w:rFonts w:cs="Arial"/>
          <w:szCs w:val="20"/>
          <w:lang w:val="fr-BE"/>
        </w:rPr>
        <w:t>de tension</w:t>
      </w:r>
      <w:r w:rsidR="00C41C69">
        <w:rPr>
          <w:rFonts w:cs="Arial"/>
          <w:szCs w:val="20"/>
          <w:lang w:val="fr-BE"/>
        </w:rPr>
        <w:t xml:space="preserve"> (</w:t>
      </w:r>
      <w:r w:rsidR="008421EB">
        <w:rPr>
          <w:rFonts w:cs="Arial"/>
          <w:szCs w:val="20"/>
          <w:lang w:val="fr-BE"/>
        </w:rPr>
        <w:t>dont</w:t>
      </w:r>
      <w:r w:rsidR="00ED677B">
        <w:rPr>
          <w:rFonts w:cs="Arial"/>
          <w:szCs w:val="20"/>
          <w:lang w:val="fr-BE"/>
        </w:rPr>
        <w:t xml:space="preserve"> l</w:t>
      </w:r>
      <w:r w:rsidR="008421EB">
        <w:rPr>
          <w:rFonts w:cs="Arial"/>
          <w:szCs w:val="20"/>
          <w:lang w:val="fr-BE"/>
        </w:rPr>
        <w:t>es limites de tension)</w:t>
      </w:r>
      <w:r w:rsidRPr="0094227C">
        <w:rPr>
          <w:rFonts w:cs="Arial"/>
          <w:szCs w:val="20"/>
          <w:lang w:val="fr-BE"/>
        </w:rPr>
        <w:t xml:space="preserve">, </w:t>
      </w:r>
      <w:r w:rsidR="005C4308" w:rsidRPr="0094227C">
        <w:rPr>
          <w:rFonts w:cs="Arial"/>
          <w:szCs w:val="20"/>
          <w:lang w:val="fr-BE"/>
        </w:rPr>
        <w:t xml:space="preserve">et les </w:t>
      </w:r>
      <w:r w:rsidRPr="0094227C">
        <w:rPr>
          <w:rFonts w:cs="Arial"/>
          <w:szCs w:val="20"/>
          <w:lang w:val="fr-BE"/>
        </w:rPr>
        <w:t>limites de courant de court-circuit</w:t>
      </w:r>
      <w:r w:rsidR="008421EB">
        <w:rPr>
          <w:rFonts w:cs="Arial"/>
          <w:szCs w:val="20"/>
          <w:lang w:val="fr-BE"/>
        </w:rPr>
        <w:t xml:space="preserve">, </w:t>
      </w:r>
      <w:r w:rsidR="0094227C" w:rsidRPr="0094227C">
        <w:rPr>
          <w:rFonts w:cs="Arial"/>
          <w:szCs w:val="20"/>
          <w:lang w:val="fr-BE"/>
        </w:rPr>
        <w:t xml:space="preserve">dans le but de </w:t>
      </w:r>
      <w:proofErr w:type="spellStart"/>
      <w:r w:rsidR="0094227C" w:rsidRPr="0094227C">
        <w:rPr>
          <w:rFonts w:cs="Arial"/>
          <w:szCs w:val="20"/>
          <w:lang w:val="fr-BE"/>
        </w:rPr>
        <w:t>garatir</w:t>
      </w:r>
      <w:proofErr w:type="spellEnd"/>
      <w:r w:rsidR="0094227C" w:rsidRPr="0094227C">
        <w:rPr>
          <w:rFonts w:cs="Arial"/>
          <w:szCs w:val="20"/>
          <w:lang w:val="fr-BE"/>
        </w:rPr>
        <w:t xml:space="preserve"> la sécurité, la qualité, la fiabilité et la disponibilité du réseau.</w:t>
      </w:r>
    </w:p>
    <w:p w14:paraId="3D26B140" w14:textId="725FE948" w:rsidR="00B70512" w:rsidRDefault="002E5593" w:rsidP="00CB7AB7">
      <w:pPr>
        <w:pStyle w:val="Paragraphedeliste"/>
        <w:numPr>
          <w:ilvl w:val="0"/>
          <w:numId w:val="3"/>
        </w:numPr>
        <w:autoSpaceDE w:val="0"/>
        <w:autoSpaceDN w:val="0"/>
        <w:adjustRightInd w:val="0"/>
        <w:rPr>
          <w:rFonts w:cs="Arial"/>
          <w:szCs w:val="20"/>
          <w:lang w:val="fr-BE"/>
        </w:rPr>
      </w:pPr>
      <w:r w:rsidRPr="00BC5843">
        <w:rPr>
          <w:rFonts w:cs="Arial"/>
          <w:b/>
          <w:bCs w:val="0"/>
          <w:szCs w:val="20"/>
          <w:lang w:val="fr-BE"/>
        </w:rPr>
        <w:t>DOWN</w:t>
      </w:r>
      <w:r>
        <w:rPr>
          <w:rFonts w:cs="Arial"/>
          <w:szCs w:val="20"/>
          <w:lang w:val="fr-BE"/>
        </w:rPr>
        <w:t xml:space="preserve"> : </w:t>
      </w:r>
      <w:r w:rsidR="00565779">
        <w:rPr>
          <w:rFonts w:cs="Arial"/>
          <w:szCs w:val="20"/>
          <w:lang w:val="fr-BE"/>
        </w:rPr>
        <w:t>D</w:t>
      </w:r>
      <w:r w:rsidR="00A87F20">
        <w:rPr>
          <w:rFonts w:cs="Arial"/>
          <w:szCs w:val="20"/>
          <w:lang w:val="fr-BE"/>
        </w:rPr>
        <w:t xml:space="preserve">irection de l’activation </w:t>
      </w:r>
      <w:r w:rsidR="00565779">
        <w:rPr>
          <w:rFonts w:cs="Arial"/>
          <w:szCs w:val="20"/>
          <w:lang w:val="fr-BE"/>
        </w:rPr>
        <w:t xml:space="preserve">de la flexibilité qui correspond </w:t>
      </w:r>
      <w:r w:rsidR="00005A95">
        <w:rPr>
          <w:rFonts w:cs="Arial"/>
          <w:szCs w:val="20"/>
          <w:lang w:val="fr-BE"/>
        </w:rPr>
        <w:t xml:space="preserve">à </w:t>
      </w:r>
      <w:r w:rsidR="00912BDC">
        <w:rPr>
          <w:rFonts w:cs="Arial"/>
          <w:szCs w:val="20"/>
          <w:lang w:val="fr-BE"/>
        </w:rPr>
        <w:t>une augmentation du prél</w:t>
      </w:r>
      <w:r w:rsidR="008460EC">
        <w:rPr>
          <w:rFonts w:cs="Arial"/>
          <w:szCs w:val="20"/>
          <w:lang w:val="fr-BE"/>
        </w:rPr>
        <w:t>ève</w:t>
      </w:r>
      <w:r w:rsidR="00912BDC">
        <w:rPr>
          <w:rFonts w:cs="Arial"/>
          <w:szCs w:val="20"/>
          <w:lang w:val="fr-BE"/>
        </w:rPr>
        <w:t>ment</w:t>
      </w:r>
      <w:r w:rsidR="008460EC">
        <w:rPr>
          <w:rFonts w:cs="Arial"/>
          <w:szCs w:val="20"/>
          <w:lang w:val="fr-BE"/>
        </w:rPr>
        <w:t xml:space="preserve"> ou </w:t>
      </w:r>
      <w:r w:rsidR="00873594">
        <w:rPr>
          <w:rFonts w:cs="Arial"/>
          <w:szCs w:val="20"/>
          <w:lang w:val="fr-BE"/>
        </w:rPr>
        <w:t xml:space="preserve">à </w:t>
      </w:r>
      <w:r w:rsidR="008460EC">
        <w:rPr>
          <w:rFonts w:cs="Arial"/>
          <w:szCs w:val="20"/>
          <w:lang w:val="fr-BE"/>
        </w:rPr>
        <w:t>une diminution de l’injection.</w:t>
      </w:r>
      <w:r w:rsidR="00912BDC">
        <w:rPr>
          <w:rFonts w:cs="Arial"/>
          <w:szCs w:val="20"/>
          <w:lang w:val="fr-BE"/>
        </w:rPr>
        <w:t xml:space="preserve"> </w:t>
      </w:r>
    </w:p>
    <w:p w14:paraId="12B30EF8" w14:textId="09F80A28" w:rsidR="00BC5843" w:rsidRPr="00BD6C3C" w:rsidRDefault="00E53530" w:rsidP="00BD6C3C">
      <w:pPr>
        <w:pStyle w:val="Paragraphedeliste"/>
        <w:numPr>
          <w:ilvl w:val="0"/>
          <w:numId w:val="3"/>
        </w:numPr>
        <w:autoSpaceDE w:val="0"/>
        <w:autoSpaceDN w:val="0"/>
        <w:adjustRightInd w:val="0"/>
        <w:rPr>
          <w:rFonts w:cs="Arial"/>
          <w:szCs w:val="20"/>
          <w:lang w:val="fr-BE"/>
        </w:rPr>
      </w:pPr>
      <w:r w:rsidRPr="00BC5843">
        <w:rPr>
          <w:rFonts w:cs="Arial"/>
          <w:b/>
          <w:bCs w:val="0"/>
          <w:szCs w:val="20"/>
          <w:lang w:val="fr-BE"/>
        </w:rPr>
        <w:t>UP</w:t>
      </w:r>
      <w:r>
        <w:rPr>
          <w:rFonts w:cs="Arial"/>
          <w:szCs w:val="20"/>
          <w:lang w:val="fr-BE"/>
        </w:rPr>
        <w:t> :</w:t>
      </w:r>
      <w:r w:rsidR="008460EC">
        <w:rPr>
          <w:rFonts w:cs="Arial"/>
          <w:szCs w:val="20"/>
          <w:lang w:val="fr-BE"/>
        </w:rPr>
        <w:t xml:space="preserve"> Direction </w:t>
      </w:r>
      <w:r w:rsidR="00005A95">
        <w:rPr>
          <w:rFonts w:cs="Arial"/>
          <w:szCs w:val="20"/>
          <w:lang w:val="fr-BE"/>
        </w:rPr>
        <w:t xml:space="preserve">de l’activation de la flexibilité qui correspond à une </w:t>
      </w:r>
      <w:r w:rsidR="00873594">
        <w:rPr>
          <w:rFonts w:cs="Arial"/>
          <w:szCs w:val="20"/>
          <w:lang w:val="fr-BE"/>
        </w:rPr>
        <w:t xml:space="preserve">diminution du prélèvement ou à une augmentation </w:t>
      </w:r>
      <w:r w:rsidR="00D136D3">
        <w:rPr>
          <w:rFonts w:cs="Arial"/>
          <w:szCs w:val="20"/>
          <w:lang w:val="fr-BE"/>
        </w:rPr>
        <w:t>de l’injection.</w:t>
      </w:r>
    </w:p>
    <w:p w14:paraId="1B7FC032" w14:textId="0986AA8C" w:rsidR="00262C84" w:rsidRPr="008A040B" w:rsidRDefault="008A040B" w:rsidP="008A040B">
      <w:pPr>
        <w:pStyle w:val="Paragraphedeliste"/>
        <w:numPr>
          <w:ilvl w:val="0"/>
          <w:numId w:val="3"/>
        </w:numPr>
        <w:autoSpaceDE w:val="0"/>
        <w:autoSpaceDN w:val="0"/>
        <w:adjustRightInd w:val="0"/>
        <w:rPr>
          <w:rFonts w:cs="Arial"/>
          <w:szCs w:val="20"/>
          <w:lang w:val="fr-BE"/>
        </w:rPr>
      </w:pPr>
      <w:r w:rsidRPr="008A040B">
        <w:rPr>
          <w:rFonts w:cs="Arial"/>
          <w:b/>
          <w:bCs w:val="0"/>
          <w:szCs w:val="20"/>
          <w:lang w:val="fr-BE"/>
        </w:rPr>
        <w:t>Zone</w:t>
      </w:r>
      <w:r>
        <w:rPr>
          <w:rFonts w:cs="Arial"/>
          <w:szCs w:val="20"/>
          <w:lang w:val="fr-BE"/>
        </w:rPr>
        <w:t> : P</w:t>
      </w:r>
      <w:proofErr w:type="spellStart"/>
      <w:r w:rsidRPr="006B1D26">
        <w:t>érimètre</w:t>
      </w:r>
      <w:proofErr w:type="spellEnd"/>
      <w:r w:rsidRPr="006B1D26">
        <w:t xml:space="preserve"> géographique mobilisant une portion du réseau impactée significativement (électriqu</w:t>
      </w:r>
      <w:r>
        <w:t>ement) par le(s) pilotage(s) de charge</w:t>
      </w:r>
      <w:r w:rsidR="006726FE">
        <w:t>.</w:t>
      </w:r>
      <w:r>
        <w:rPr>
          <w:rFonts w:cs="Arial"/>
          <w:szCs w:val="20"/>
          <w:lang w:val="fr-BE"/>
        </w:rPr>
        <w:t xml:space="preserve"> </w:t>
      </w:r>
    </w:p>
    <w:p w14:paraId="6DA45AC2" w14:textId="77777777" w:rsidR="00262C84" w:rsidRPr="000C4BED" w:rsidRDefault="00262C84" w:rsidP="00262C84">
      <w:pPr>
        <w:pStyle w:val="Titre1"/>
        <w:numPr>
          <w:ilvl w:val="0"/>
          <w:numId w:val="20"/>
        </w:numPr>
      </w:pPr>
      <w:bookmarkStart w:id="4" w:name="_Toc65745135"/>
      <w:proofErr w:type="spellStart"/>
      <w:r w:rsidRPr="000C4BED">
        <w:t>O</w:t>
      </w:r>
      <w:r>
        <w:t>bjet</w:t>
      </w:r>
      <w:proofErr w:type="spellEnd"/>
      <w:r>
        <w:t xml:space="preserve"> et </w:t>
      </w:r>
      <w:proofErr w:type="spellStart"/>
      <w:r>
        <w:t>domaine</w:t>
      </w:r>
      <w:proofErr w:type="spellEnd"/>
      <w:r>
        <w:t xml:space="preserve"> </w:t>
      </w:r>
      <w:proofErr w:type="spellStart"/>
      <w:r>
        <w:t>d’application</w:t>
      </w:r>
      <w:bookmarkEnd w:id="4"/>
      <w:proofErr w:type="spellEnd"/>
    </w:p>
    <w:p w14:paraId="553AC487" w14:textId="77777777" w:rsidR="00262C84" w:rsidRPr="00E3384F" w:rsidRDefault="00262C84" w:rsidP="00262C84">
      <w:pPr>
        <w:spacing w:before="240"/>
        <w:ind w:left="360"/>
        <w:jc w:val="both"/>
        <w:rPr>
          <w:lang w:val="fr-BE"/>
        </w:rPr>
      </w:pPr>
      <w:r>
        <w:rPr>
          <w:lang w:val="fr-BE"/>
        </w:rPr>
        <w:t xml:space="preserve">Pour assurer la sécurité et la fiabilité de leurs réseaux, </w:t>
      </w:r>
      <w:r w:rsidRPr="00282052">
        <w:rPr>
          <w:lang w:val="fr-BE"/>
        </w:rPr>
        <w:t>Elia et le</w:t>
      </w:r>
      <w:r>
        <w:rPr>
          <w:lang w:val="fr-BE"/>
        </w:rPr>
        <w:t>s</w:t>
      </w:r>
      <w:r w:rsidRPr="00282052">
        <w:rPr>
          <w:lang w:val="fr-BE"/>
        </w:rPr>
        <w:t xml:space="preserve"> GRD (en ce qui concerne les utilisateurs raccordés au réseau de distribution) doivent </w:t>
      </w:r>
      <w:r>
        <w:rPr>
          <w:lang w:val="fr-BE"/>
        </w:rPr>
        <w:t xml:space="preserve">s’assurer </w:t>
      </w:r>
      <w:r w:rsidRPr="00E3384F">
        <w:rPr>
          <w:lang w:val="fr-BE"/>
        </w:rPr>
        <w:t xml:space="preserve">que l'activation </w:t>
      </w:r>
      <w:r>
        <w:rPr>
          <w:lang w:val="fr-BE"/>
        </w:rPr>
        <w:t>de la flexibilité</w:t>
      </w:r>
      <w:r w:rsidRPr="00E3384F">
        <w:rPr>
          <w:lang w:val="fr-BE"/>
        </w:rPr>
        <w:t>, tant en mode de fonctionnement normal qu’en mode de fonctionnement dégradé du réseau :</w:t>
      </w:r>
    </w:p>
    <w:p w14:paraId="4A925937" w14:textId="654A6C3A" w:rsidR="00262C84" w:rsidRDefault="00262C84" w:rsidP="00262C84">
      <w:pPr>
        <w:pStyle w:val="Paragraphedeliste"/>
        <w:numPr>
          <w:ilvl w:val="0"/>
          <w:numId w:val="12"/>
        </w:numPr>
        <w:ind w:left="720"/>
        <w:rPr>
          <w:lang w:val="fr-BE"/>
        </w:rPr>
      </w:pPr>
      <w:r w:rsidRPr="008E700E">
        <w:rPr>
          <w:lang w:val="fr-BE"/>
        </w:rPr>
        <w:t>ne compromettra pas la stabilité des réseaux</w:t>
      </w:r>
      <w:r w:rsidR="00D136D3">
        <w:rPr>
          <w:lang w:val="fr-BE"/>
        </w:rPr>
        <w:t> ;</w:t>
      </w:r>
      <w:r w:rsidRPr="008E700E">
        <w:rPr>
          <w:lang w:val="fr-BE"/>
        </w:rPr>
        <w:t xml:space="preserve"> </w:t>
      </w:r>
    </w:p>
    <w:p w14:paraId="6B757B94" w14:textId="35332194" w:rsidR="00262C84" w:rsidRDefault="00262C84" w:rsidP="00262C84">
      <w:pPr>
        <w:pStyle w:val="Paragraphedeliste"/>
        <w:numPr>
          <w:ilvl w:val="0"/>
          <w:numId w:val="12"/>
        </w:numPr>
        <w:ind w:left="720"/>
        <w:rPr>
          <w:lang w:val="fr-BE"/>
        </w:rPr>
      </w:pPr>
      <w:r w:rsidRPr="008E700E">
        <w:rPr>
          <w:lang w:val="fr-BE"/>
        </w:rPr>
        <w:t>ne causera aucune congestion</w:t>
      </w:r>
      <w:r w:rsidR="00D136D3">
        <w:rPr>
          <w:lang w:val="fr-BE"/>
        </w:rPr>
        <w:t> ;</w:t>
      </w:r>
    </w:p>
    <w:p w14:paraId="1512CC7D" w14:textId="77777777" w:rsidR="00262C84" w:rsidRPr="008E700E" w:rsidRDefault="00262C84" w:rsidP="00262C84">
      <w:pPr>
        <w:pStyle w:val="Paragraphedeliste"/>
        <w:numPr>
          <w:ilvl w:val="0"/>
          <w:numId w:val="12"/>
        </w:numPr>
        <w:ind w:left="720"/>
        <w:rPr>
          <w:lang w:val="fr-BE"/>
        </w:rPr>
      </w:pPr>
      <w:r>
        <w:rPr>
          <w:lang w:val="fr-BE"/>
        </w:rPr>
        <w:t>ne causera</w:t>
      </w:r>
      <w:r w:rsidRPr="008E700E">
        <w:rPr>
          <w:lang w:val="fr-BE"/>
        </w:rPr>
        <w:t xml:space="preserve"> aucun problème au niveau de la qualité de la tension sur leur</w:t>
      </w:r>
      <w:r>
        <w:rPr>
          <w:lang w:val="fr-BE"/>
        </w:rPr>
        <w:t>s</w:t>
      </w:r>
      <w:r w:rsidRPr="008E700E">
        <w:rPr>
          <w:lang w:val="fr-BE"/>
        </w:rPr>
        <w:t xml:space="preserve"> réseau</w:t>
      </w:r>
      <w:r>
        <w:rPr>
          <w:lang w:val="fr-BE"/>
        </w:rPr>
        <w:t>x</w:t>
      </w:r>
      <w:r w:rsidRPr="008E700E">
        <w:rPr>
          <w:lang w:val="fr-BE"/>
        </w:rPr>
        <w:t xml:space="preserve">. </w:t>
      </w:r>
    </w:p>
    <w:p w14:paraId="0D3B844C" w14:textId="77777777" w:rsidR="00262C84" w:rsidRDefault="00262C84" w:rsidP="00262C84">
      <w:pPr>
        <w:ind w:left="360"/>
        <w:rPr>
          <w:lang w:val="fr-BE" w:eastAsia="nl-NL"/>
        </w:rPr>
      </w:pPr>
    </w:p>
    <w:p w14:paraId="3F4F0385" w14:textId="77777777" w:rsidR="00262C84" w:rsidRDefault="00262C84" w:rsidP="00262C84">
      <w:pPr>
        <w:ind w:left="360"/>
        <w:jc w:val="both"/>
        <w:rPr>
          <w:lang w:val="fr-BE"/>
        </w:rPr>
      </w:pPr>
      <w:r>
        <w:rPr>
          <w:lang w:val="fr-FR" w:eastAsia="nl-NL"/>
        </w:rPr>
        <w:t xml:space="preserve">A cette fin, les gestionnaires de réseaux ont élaboré une procédure de qualification des points de raccordement avec des moyens de flexibilité connectés au réseau de distribution. </w:t>
      </w:r>
      <w:r>
        <w:rPr>
          <w:lang w:val="fr-BE"/>
        </w:rPr>
        <w:t>Décrire cette procédure est l’objectif principal du présent document.</w:t>
      </w:r>
    </w:p>
    <w:p w14:paraId="5546C9BA" w14:textId="77777777" w:rsidR="00262C84" w:rsidRDefault="00262C84" w:rsidP="00262C84">
      <w:pPr>
        <w:ind w:left="360"/>
        <w:jc w:val="both"/>
        <w:rPr>
          <w:lang w:val="fr-BE"/>
        </w:rPr>
      </w:pPr>
    </w:p>
    <w:p w14:paraId="17B5B831" w14:textId="77777777" w:rsidR="00262C84" w:rsidRPr="00DC1BB6" w:rsidRDefault="00262C84" w:rsidP="00262C84">
      <w:pPr>
        <w:ind w:left="360"/>
        <w:jc w:val="both"/>
        <w:rPr>
          <w:lang w:val="fr-FR" w:eastAsia="nl-NL"/>
        </w:rPr>
      </w:pPr>
      <w:r>
        <w:rPr>
          <w:lang w:val="fr-BE"/>
        </w:rPr>
        <w:t xml:space="preserve">Cette procédure est uniquement d’application si elle est rendue obligatoire par le contrat FSP-GRD ou par la réglementation régionale. </w:t>
      </w:r>
    </w:p>
    <w:p w14:paraId="3167FE8D" w14:textId="77777777" w:rsidR="00262C84" w:rsidRPr="00DC1BB6" w:rsidRDefault="00262C84" w:rsidP="00262C84">
      <w:pPr>
        <w:ind w:left="360"/>
        <w:rPr>
          <w:lang w:val="fr-FR" w:eastAsia="nl-NL"/>
        </w:rPr>
      </w:pPr>
    </w:p>
    <w:p w14:paraId="7D9D3D63" w14:textId="25213DB4" w:rsidR="00262C84" w:rsidRPr="00F70911" w:rsidRDefault="00262C84" w:rsidP="00262C84">
      <w:pPr>
        <w:ind w:left="360"/>
        <w:contextualSpacing/>
        <w:jc w:val="both"/>
        <w:rPr>
          <w:rFonts w:eastAsia="Times New Roman"/>
          <w:bCs/>
          <w:iCs/>
          <w:szCs w:val="24"/>
          <w:lang w:val="fr-FR" w:eastAsia="nl-NL"/>
        </w:rPr>
      </w:pPr>
      <w:r w:rsidRPr="00DC1BB6">
        <w:rPr>
          <w:rFonts w:eastAsia="Times New Roman"/>
          <w:bCs/>
          <w:iCs/>
          <w:szCs w:val="24"/>
          <w:lang w:val="fr-FR" w:eastAsia="nl-NL"/>
        </w:rPr>
        <w:lastRenderedPageBreak/>
        <w:t xml:space="preserve">Cette procédure est d’application pour tous les points de raccordement satisfaisant aux critères </w:t>
      </w:r>
      <w:r w:rsidR="008D2836">
        <w:rPr>
          <w:rFonts w:eastAsia="Times New Roman"/>
          <w:bCs/>
          <w:iCs/>
          <w:szCs w:val="24"/>
          <w:lang w:val="fr-FR" w:eastAsia="nl-NL"/>
        </w:rPr>
        <w:t xml:space="preserve">du </w:t>
      </w:r>
      <w:r w:rsidR="00F510A4">
        <w:rPr>
          <w:rFonts w:eastAsia="Times New Roman"/>
          <w:bCs/>
          <w:iCs/>
          <w:szCs w:val="24"/>
          <w:lang w:val="fr-FR" w:eastAsia="nl-NL"/>
        </w:rPr>
        <w:t>S</w:t>
      </w:r>
      <w:r w:rsidR="008D2836">
        <w:rPr>
          <w:rFonts w:eastAsia="Times New Roman"/>
          <w:bCs/>
          <w:iCs/>
          <w:szCs w:val="24"/>
          <w:lang w:val="fr-FR" w:eastAsia="nl-NL"/>
        </w:rPr>
        <w:t xml:space="preserve">ervice de flexibilité </w:t>
      </w:r>
      <w:r w:rsidR="00192DA4">
        <w:rPr>
          <w:rFonts w:eastAsia="Times New Roman"/>
          <w:bCs/>
          <w:iCs/>
          <w:szCs w:val="24"/>
          <w:lang w:val="fr-FR" w:eastAsia="nl-NL"/>
        </w:rPr>
        <w:t>repris à l’annexe 1 du contrat FSP-GRD</w:t>
      </w:r>
      <w:r w:rsidR="00C2193D">
        <w:rPr>
          <w:rFonts w:eastAsia="Times New Roman"/>
          <w:bCs/>
          <w:iCs/>
          <w:szCs w:val="24"/>
          <w:lang w:val="fr-FR" w:eastAsia="nl-NL"/>
        </w:rPr>
        <w:t xml:space="preserve"> pour lesquels une qualification via la C8/01 est </w:t>
      </w:r>
      <w:r w:rsidR="00B54A46">
        <w:rPr>
          <w:rFonts w:eastAsia="Times New Roman"/>
          <w:bCs/>
          <w:iCs/>
          <w:szCs w:val="24"/>
          <w:lang w:val="fr-FR" w:eastAsia="nl-NL"/>
        </w:rPr>
        <w:t>une condition pour p</w:t>
      </w:r>
      <w:r w:rsidR="00687A17">
        <w:rPr>
          <w:rFonts w:eastAsia="Times New Roman"/>
          <w:bCs/>
          <w:iCs/>
          <w:szCs w:val="24"/>
          <w:lang w:val="fr-FR" w:eastAsia="nl-NL"/>
        </w:rPr>
        <w:t xml:space="preserve">articiper </w:t>
      </w:r>
      <w:r w:rsidRPr="00F70911">
        <w:rPr>
          <w:rFonts w:eastAsia="Times New Roman"/>
          <w:bCs/>
          <w:iCs/>
          <w:szCs w:val="24"/>
          <w:lang w:val="fr-FR" w:eastAsia="nl-NL"/>
        </w:rPr>
        <w:t xml:space="preserve">et dont les URD souhaitent participer à un ou plusieurs </w:t>
      </w:r>
      <w:r w:rsidR="00CB4FC3" w:rsidRPr="00F70911">
        <w:rPr>
          <w:rFonts w:eastAsia="Times New Roman"/>
          <w:bCs/>
          <w:iCs/>
          <w:szCs w:val="24"/>
          <w:lang w:val="fr-FR" w:eastAsia="nl-NL"/>
        </w:rPr>
        <w:t>Services</w:t>
      </w:r>
      <w:r w:rsidRPr="00F70911">
        <w:rPr>
          <w:rFonts w:eastAsia="Times New Roman"/>
          <w:bCs/>
          <w:iCs/>
          <w:szCs w:val="24"/>
          <w:lang w:val="fr-FR" w:eastAsia="nl-NL"/>
        </w:rPr>
        <w:t xml:space="preserve"> de flexibilité</w:t>
      </w:r>
      <w:r w:rsidR="000F5B4E">
        <w:rPr>
          <w:rFonts w:eastAsia="Times New Roman"/>
          <w:bCs/>
          <w:iCs/>
          <w:szCs w:val="24"/>
          <w:lang w:val="fr-FR" w:eastAsia="nl-NL"/>
        </w:rPr>
        <w:t xml:space="preserve">. </w:t>
      </w:r>
    </w:p>
    <w:p w14:paraId="0448399D" w14:textId="1380D895" w:rsidR="000B4722" w:rsidRPr="00491EF2" w:rsidRDefault="00DB299B" w:rsidP="00402922">
      <w:pPr>
        <w:pStyle w:val="Titre1"/>
        <w:numPr>
          <w:ilvl w:val="0"/>
          <w:numId w:val="20"/>
        </w:numPr>
        <w:rPr>
          <w:lang w:val="fr-BE"/>
        </w:rPr>
      </w:pPr>
      <w:bookmarkStart w:id="5" w:name="_Toc438464610"/>
      <w:bookmarkStart w:id="6" w:name="_Toc438465065"/>
      <w:bookmarkStart w:id="7" w:name="_Toc438464611"/>
      <w:bookmarkStart w:id="8" w:name="_Toc438465066"/>
      <w:bookmarkStart w:id="9" w:name="_Toc438464612"/>
      <w:bookmarkStart w:id="10" w:name="_Toc438465067"/>
      <w:bookmarkStart w:id="11" w:name="_Toc438464613"/>
      <w:bookmarkStart w:id="12" w:name="_Toc438465068"/>
      <w:bookmarkStart w:id="13" w:name="_Toc438464614"/>
      <w:bookmarkStart w:id="14" w:name="_Toc438465069"/>
      <w:bookmarkStart w:id="15" w:name="_Toc438464615"/>
      <w:bookmarkStart w:id="16" w:name="_Toc438465070"/>
      <w:bookmarkStart w:id="17" w:name="_Toc438464616"/>
      <w:bookmarkStart w:id="18" w:name="_Toc438465071"/>
      <w:bookmarkStart w:id="19" w:name="_Toc438464617"/>
      <w:bookmarkStart w:id="20" w:name="_Toc438465072"/>
      <w:bookmarkStart w:id="21" w:name="_Toc438464618"/>
      <w:bookmarkStart w:id="22" w:name="_Toc438465073"/>
      <w:bookmarkStart w:id="23" w:name="_Toc390691661"/>
      <w:bookmarkStart w:id="24" w:name="_Toc414345516"/>
      <w:bookmarkStart w:id="25" w:name="_Toc657451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491EF2">
        <w:rPr>
          <w:lang w:val="fr-BE"/>
        </w:rPr>
        <w:t>Etape 1</w:t>
      </w:r>
      <w:r w:rsidR="00FF5482">
        <w:rPr>
          <w:lang w:val="fr-BE"/>
        </w:rPr>
        <w:t xml:space="preserve"> </w:t>
      </w:r>
      <w:r w:rsidRPr="00491EF2">
        <w:rPr>
          <w:lang w:val="fr-BE"/>
        </w:rPr>
        <w:t xml:space="preserve">: </w:t>
      </w:r>
      <w:bookmarkStart w:id="26" w:name="_Toc438464620"/>
      <w:bookmarkStart w:id="27" w:name="_Toc438465075"/>
      <w:bookmarkStart w:id="28" w:name="_Toc438464621"/>
      <w:bookmarkStart w:id="29" w:name="_Toc438465076"/>
      <w:bookmarkStart w:id="30" w:name="_Toc438464622"/>
      <w:bookmarkStart w:id="31" w:name="_Toc438465077"/>
      <w:bookmarkStart w:id="32" w:name="_Toc438464623"/>
      <w:bookmarkStart w:id="33" w:name="_Toc438465078"/>
      <w:bookmarkStart w:id="34" w:name="_Toc438464624"/>
      <w:bookmarkStart w:id="35" w:name="_Toc438465079"/>
      <w:bookmarkStart w:id="36" w:name="_Toc438464625"/>
      <w:bookmarkStart w:id="37" w:name="_Toc438465080"/>
      <w:bookmarkStart w:id="38" w:name="_Toc438464626"/>
      <w:bookmarkStart w:id="39" w:name="_Toc438465081"/>
      <w:bookmarkStart w:id="40" w:name="_Toc322359052"/>
      <w:bookmarkStart w:id="41" w:name="_Toc322359591"/>
      <w:bookmarkStart w:id="42" w:name="_Toc322359730"/>
      <w:bookmarkStart w:id="43" w:name="_Toc322359865"/>
      <w:bookmarkStart w:id="44" w:name="_Toc322360011"/>
      <w:bookmarkStart w:id="45" w:name="_Toc322360147"/>
      <w:bookmarkStart w:id="46" w:name="_Toc322360283"/>
      <w:bookmarkStart w:id="47" w:name="_Toc322360458"/>
      <w:bookmarkStart w:id="48" w:name="_Toc322360734"/>
      <w:bookmarkStart w:id="49" w:name="_Toc322378015"/>
      <w:bookmarkStart w:id="50" w:name="_Toc322378155"/>
      <w:bookmarkStart w:id="51" w:name="_Toc322359053"/>
      <w:bookmarkStart w:id="52" w:name="_Toc322359592"/>
      <w:bookmarkStart w:id="53" w:name="_Toc322359731"/>
      <w:bookmarkStart w:id="54" w:name="_Toc322359866"/>
      <w:bookmarkStart w:id="55" w:name="_Toc322360012"/>
      <w:bookmarkStart w:id="56" w:name="_Toc322360148"/>
      <w:bookmarkStart w:id="57" w:name="_Toc322360284"/>
      <w:bookmarkStart w:id="58" w:name="_Toc322360459"/>
      <w:bookmarkStart w:id="59" w:name="_Toc322360735"/>
      <w:bookmarkStart w:id="60" w:name="_Toc322378016"/>
      <w:bookmarkStart w:id="61" w:name="_Toc322378156"/>
      <w:bookmarkStart w:id="62" w:name="_Toc322359054"/>
      <w:bookmarkStart w:id="63" w:name="_Toc322359593"/>
      <w:bookmarkStart w:id="64" w:name="_Toc322359732"/>
      <w:bookmarkStart w:id="65" w:name="_Toc322359867"/>
      <w:bookmarkStart w:id="66" w:name="_Toc322360013"/>
      <w:bookmarkStart w:id="67" w:name="_Toc322360149"/>
      <w:bookmarkStart w:id="68" w:name="_Toc322360285"/>
      <w:bookmarkStart w:id="69" w:name="_Toc322360460"/>
      <w:bookmarkStart w:id="70" w:name="_Toc322360736"/>
      <w:bookmarkStart w:id="71" w:name="_Toc322378017"/>
      <w:bookmarkStart w:id="72" w:name="_Toc322378157"/>
      <w:bookmarkStart w:id="73" w:name="_Toc322382303"/>
      <w:bookmarkStart w:id="74" w:name="_Toc322382304"/>
      <w:bookmarkStart w:id="75" w:name="_Toc322382305"/>
      <w:bookmarkStart w:id="76" w:name="_Toc438464627"/>
      <w:bookmarkStart w:id="77" w:name="_Toc438465082"/>
      <w:bookmarkStart w:id="78" w:name="_Toc438464628"/>
      <w:bookmarkStart w:id="79" w:name="_Toc438465083"/>
      <w:bookmarkStart w:id="80" w:name="_Toc390691663"/>
      <w:bookmarkStart w:id="81" w:name="_Toc61946997"/>
      <w:bookmarkStart w:id="82" w:name="_Toc84998200"/>
      <w:bookmarkEnd w:id="23"/>
      <w:bookmarkEnd w:id="2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110147" w:rsidRPr="00491EF2">
        <w:rPr>
          <w:lang w:val="fr-BE"/>
        </w:rPr>
        <w:t xml:space="preserve">Introduction d’une demande de </w:t>
      </w:r>
      <w:r w:rsidR="000A1CC4" w:rsidRPr="00491EF2">
        <w:rPr>
          <w:lang w:val="fr-BE"/>
        </w:rPr>
        <w:t>qualification</w:t>
      </w:r>
      <w:bookmarkEnd w:id="25"/>
      <w:r w:rsidR="00DB23E0" w:rsidRPr="00491EF2">
        <w:rPr>
          <w:lang w:val="fr-BE"/>
        </w:rPr>
        <w:t xml:space="preserve"> </w:t>
      </w:r>
      <w:bookmarkEnd w:id="80"/>
    </w:p>
    <w:p w14:paraId="61D6DC07" w14:textId="7F0BE29B" w:rsidR="000E4616" w:rsidRDefault="000E4616" w:rsidP="007372BA">
      <w:pPr>
        <w:spacing w:before="120"/>
        <w:ind w:left="360"/>
        <w:jc w:val="both"/>
        <w:rPr>
          <w:lang w:val="fr-FR" w:eastAsia="nl-NL"/>
        </w:rPr>
      </w:pPr>
      <w:r w:rsidRPr="00257DCA">
        <w:rPr>
          <w:lang w:val="fr-FR" w:eastAsia="nl-NL"/>
        </w:rPr>
        <w:t>Pour les régions Flamande et Wallonne, l</w:t>
      </w:r>
      <w:r w:rsidR="00110147" w:rsidRPr="00257DCA">
        <w:rPr>
          <w:lang w:val="fr-FR" w:eastAsia="nl-NL"/>
        </w:rPr>
        <w:t xml:space="preserve">a demande de </w:t>
      </w:r>
      <w:r w:rsidR="000A1CC4" w:rsidRPr="00257DCA">
        <w:rPr>
          <w:lang w:val="fr-FR" w:eastAsia="nl-NL"/>
        </w:rPr>
        <w:t>qualification</w:t>
      </w:r>
      <w:r w:rsidR="00110147" w:rsidRPr="00257DCA">
        <w:rPr>
          <w:lang w:val="fr-FR" w:eastAsia="nl-NL"/>
        </w:rPr>
        <w:t xml:space="preserve"> est introduite par l’URD. Celui-ci peut mandater un tiers.</w:t>
      </w:r>
      <w:r w:rsidR="00DB299B" w:rsidRPr="00257DCA">
        <w:rPr>
          <w:lang w:val="fr-FR" w:eastAsia="nl-NL"/>
        </w:rPr>
        <w:t xml:space="preserve"> </w:t>
      </w:r>
      <w:r w:rsidRPr="00257DCA">
        <w:rPr>
          <w:lang w:val="fr-FR" w:eastAsia="nl-NL"/>
        </w:rPr>
        <w:t>Pour la région de Bruxelles – Capital</w:t>
      </w:r>
      <w:r w:rsidR="00F839CD">
        <w:rPr>
          <w:lang w:val="fr-FR" w:eastAsia="nl-NL"/>
        </w:rPr>
        <w:t>e</w:t>
      </w:r>
      <w:r w:rsidRPr="00257DCA">
        <w:rPr>
          <w:lang w:val="fr-FR" w:eastAsia="nl-NL"/>
        </w:rPr>
        <w:t>, cette demande est introduite par le FSP.</w:t>
      </w:r>
    </w:p>
    <w:p w14:paraId="514460EC" w14:textId="776027E3" w:rsidR="00F566F0" w:rsidRDefault="00B66FDC" w:rsidP="007372BA">
      <w:pPr>
        <w:spacing w:before="120"/>
        <w:ind w:left="360"/>
        <w:jc w:val="both"/>
        <w:rPr>
          <w:lang w:val="fr-FR" w:eastAsia="nl-NL"/>
        </w:rPr>
      </w:pPr>
      <w:r>
        <w:rPr>
          <w:lang w:val="fr-FR" w:eastAsia="nl-NL"/>
        </w:rPr>
        <w:t xml:space="preserve">Pour mandater le FSP, l’URD </w:t>
      </w:r>
      <w:r w:rsidR="00D31C76">
        <w:rPr>
          <w:lang w:val="fr-FR" w:eastAsia="nl-NL"/>
        </w:rPr>
        <w:t xml:space="preserve">doit utiliser </w:t>
      </w:r>
      <w:r w:rsidR="007372BA">
        <w:rPr>
          <w:lang w:val="fr-FR" w:eastAsia="nl-NL"/>
        </w:rPr>
        <w:t xml:space="preserve">le formulaire disponible sur le site internet de Synergrid </w:t>
      </w:r>
      <w:r w:rsidR="007372BA" w:rsidRPr="00C04646">
        <w:rPr>
          <w:lang w:val="fr-FR" w:eastAsia="nl-NL"/>
        </w:rPr>
        <w:t>(</w:t>
      </w:r>
      <w:hyperlink r:id="rId13" w:history="1">
        <w:r w:rsidR="007372BA" w:rsidRPr="00E903CC">
          <w:rPr>
            <w:rStyle w:val="Lienhypertexte"/>
            <w:lang w:val="fr-FR" w:eastAsia="nl-NL"/>
          </w:rPr>
          <w:t>lien</w:t>
        </w:r>
      </w:hyperlink>
      <w:r w:rsidR="007372BA" w:rsidRPr="00C04646">
        <w:rPr>
          <w:lang w:val="fr-FR" w:eastAsia="nl-NL"/>
        </w:rPr>
        <w:t>)</w:t>
      </w:r>
      <w:r w:rsidR="007372BA">
        <w:rPr>
          <w:lang w:val="fr-FR" w:eastAsia="nl-NL"/>
        </w:rPr>
        <w:t>.</w:t>
      </w:r>
    </w:p>
    <w:p w14:paraId="282B9D55" w14:textId="020ADC10" w:rsidR="00554042" w:rsidRDefault="00AE151E" w:rsidP="007F3C1A">
      <w:pPr>
        <w:ind w:left="360"/>
        <w:jc w:val="both"/>
        <w:rPr>
          <w:lang w:val="fr-FR" w:eastAsia="nl-NL"/>
        </w:rPr>
      </w:pPr>
      <w:r w:rsidRPr="00094526">
        <w:rPr>
          <w:lang w:val="fr-FR"/>
        </w:rPr>
        <w:t>Le mandataire</w:t>
      </w:r>
      <w:r w:rsidR="0051340F">
        <w:rPr>
          <w:lang w:val="fr-FR"/>
        </w:rPr>
        <w:t xml:space="preserve"> (FSP)</w:t>
      </w:r>
      <w:r w:rsidRPr="00094526">
        <w:rPr>
          <w:lang w:val="fr-FR"/>
        </w:rPr>
        <w:t xml:space="preserve"> </w:t>
      </w:r>
      <w:r>
        <w:rPr>
          <w:lang w:val="fr-FR"/>
        </w:rPr>
        <w:t xml:space="preserve">a l’obligation de </w:t>
      </w:r>
      <w:r w:rsidRPr="00094526">
        <w:rPr>
          <w:lang w:val="fr-FR"/>
        </w:rPr>
        <w:t xml:space="preserve">notifier immédiatement au </w:t>
      </w:r>
      <w:r w:rsidR="0051340F">
        <w:rPr>
          <w:lang w:val="fr-FR"/>
        </w:rPr>
        <w:t>GRD</w:t>
      </w:r>
      <w:r w:rsidRPr="00094526">
        <w:rPr>
          <w:lang w:val="fr-FR"/>
        </w:rPr>
        <w:t xml:space="preserve"> la résiliation ou la révocation de ce mandat par le mandant</w:t>
      </w:r>
      <w:r w:rsidR="007F3C1A">
        <w:rPr>
          <w:lang w:val="fr-FR"/>
        </w:rPr>
        <w:t xml:space="preserve"> (URD)</w:t>
      </w:r>
      <w:r>
        <w:rPr>
          <w:lang w:val="fr-FR"/>
        </w:rPr>
        <w:t>.</w:t>
      </w:r>
      <w:r w:rsidRPr="00094526">
        <w:rPr>
          <w:lang w:val="fr-FR"/>
        </w:rPr>
        <w:t xml:space="preserve"> </w:t>
      </w:r>
      <w:r>
        <w:rPr>
          <w:lang w:val="fr-FR"/>
        </w:rPr>
        <w:t xml:space="preserve">Cette révocation ou résiliation peut se faire </w:t>
      </w:r>
      <w:r w:rsidRPr="00094526">
        <w:rPr>
          <w:lang w:val="fr-FR"/>
        </w:rPr>
        <w:t>sur simple demande de ce dernier.</w:t>
      </w:r>
    </w:p>
    <w:p w14:paraId="0AC3E7E4" w14:textId="6839F282" w:rsidR="002715D4" w:rsidRDefault="002715D4" w:rsidP="00474B55">
      <w:pPr>
        <w:spacing w:before="120"/>
        <w:ind w:left="360"/>
        <w:rPr>
          <w:lang w:val="fr-FR" w:eastAsia="nl-NL"/>
        </w:rPr>
      </w:pPr>
      <w:r w:rsidRPr="002715D4">
        <w:rPr>
          <w:lang w:val="fr-FR" w:eastAsia="nl-NL"/>
        </w:rPr>
        <w:t xml:space="preserve">La </w:t>
      </w:r>
      <w:r w:rsidRPr="002715D4">
        <w:rPr>
          <w:lang w:val="fr-BE"/>
        </w:rPr>
        <w:t xml:space="preserve">demande doit être introduite par email à l’adresse mentionnée dans </w:t>
      </w:r>
      <w:r w:rsidRPr="00DC1BB6">
        <w:rPr>
          <w:lang w:val="fr-BE"/>
        </w:rPr>
        <w:t>l’</w:t>
      </w:r>
      <w:r w:rsidR="006E0522">
        <w:rPr>
          <w:lang w:val="fr-BE"/>
        </w:rPr>
        <w:t>A</w:t>
      </w:r>
      <w:r w:rsidRPr="00DC1BB6">
        <w:rPr>
          <w:lang w:val="fr-BE"/>
        </w:rPr>
        <w:t xml:space="preserve">nnexe </w:t>
      </w:r>
      <w:r w:rsidR="000B5E77" w:rsidRPr="00DC1BB6">
        <w:rPr>
          <w:lang w:val="fr-BE"/>
        </w:rPr>
        <w:t>1</w:t>
      </w:r>
      <w:r w:rsidRPr="00DC1BB6">
        <w:rPr>
          <w:lang w:val="fr-BE"/>
        </w:rPr>
        <w:t>.</w:t>
      </w:r>
      <w:r>
        <w:rPr>
          <w:lang w:val="fr-FR" w:eastAsia="nl-NL"/>
        </w:rPr>
        <w:t xml:space="preserve"> </w:t>
      </w:r>
    </w:p>
    <w:p w14:paraId="18A3C629" w14:textId="77777777" w:rsidR="002715D4" w:rsidRDefault="002715D4" w:rsidP="00474B55">
      <w:pPr>
        <w:ind w:left="360"/>
        <w:rPr>
          <w:lang w:val="fr-FR" w:eastAsia="nl-NL"/>
        </w:rPr>
      </w:pPr>
    </w:p>
    <w:p w14:paraId="5DF5CC70" w14:textId="77777777" w:rsidR="00DB299B" w:rsidRDefault="00DB299B" w:rsidP="00474B55">
      <w:pPr>
        <w:ind w:left="360"/>
        <w:rPr>
          <w:lang w:val="fr-FR" w:eastAsia="nl-NL"/>
        </w:rPr>
      </w:pPr>
      <w:r>
        <w:rPr>
          <w:lang w:val="fr-FR" w:eastAsia="nl-NL"/>
        </w:rPr>
        <w:t>Pour être recevable, une demande de qualification doit satisfaire aux conditions suivantes :</w:t>
      </w:r>
    </w:p>
    <w:p w14:paraId="39B0D1B5" w14:textId="5BD38608" w:rsidR="00DB299B" w:rsidRDefault="00DB299B" w:rsidP="00474B55">
      <w:pPr>
        <w:pStyle w:val="Paragraphedeliste"/>
        <w:numPr>
          <w:ilvl w:val="0"/>
          <w:numId w:val="17"/>
        </w:numPr>
        <w:ind w:left="1080"/>
      </w:pPr>
      <w:r>
        <w:t>La demande doit concerner un point de raccordement qui satisfait aux critères repris au §</w:t>
      </w:r>
      <w:r w:rsidR="00CE6147">
        <w:t>2</w:t>
      </w:r>
      <w:r>
        <w:t xml:space="preserve"> du présent document.</w:t>
      </w:r>
    </w:p>
    <w:p w14:paraId="4F69F19B" w14:textId="77777777" w:rsidR="00DB299B" w:rsidRDefault="00DB299B" w:rsidP="00474B55">
      <w:pPr>
        <w:pStyle w:val="Paragraphedeliste"/>
        <w:numPr>
          <w:ilvl w:val="0"/>
          <w:numId w:val="17"/>
        </w:numPr>
        <w:ind w:left="1080"/>
      </w:pPr>
      <w:r>
        <w:t>Les documents suivants doivent être fournis au GRD :</w:t>
      </w:r>
    </w:p>
    <w:p w14:paraId="2E66B3E2" w14:textId="77777777" w:rsidR="00DB299B" w:rsidRDefault="000C0D10" w:rsidP="00474B55">
      <w:pPr>
        <w:pStyle w:val="Paragraphedeliste"/>
        <w:numPr>
          <w:ilvl w:val="1"/>
          <w:numId w:val="17"/>
        </w:numPr>
        <w:ind w:left="1800"/>
      </w:pPr>
      <w:r>
        <w:t xml:space="preserve">Connection </w:t>
      </w:r>
      <w:proofErr w:type="spellStart"/>
      <w:r>
        <w:t>Contract</w:t>
      </w:r>
      <w:proofErr w:type="spellEnd"/>
      <w:r>
        <w:t xml:space="preserve"> Check</w:t>
      </w:r>
      <w:r w:rsidR="00DB299B">
        <w:t xml:space="preserve"> </w:t>
      </w:r>
      <w:r w:rsidR="00956ECE">
        <w:t xml:space="preserve">(CCC) </w:t>
      </w:r>
      <w:r w:rsidR="00DB299B">
        <w:t>relatif au point de raccordement.</w:t>
      </w:r>
      <w:r>
        <w:t xml:space="preserve">  Le contenu de ce document et l</w:t>
      </w:r>
      <w:r w:rsidR="002715D4">
        <w:t>a</w:t>
      </w:r>
      <w:r>
        <w:t xml:space="preserve"> manière dont il peut </w:t>
      </w:r>
      <w:r w:rsidR="00956ECE">
        <w:t>être obtenu</w:t>
      </w:r>
      <w:r>
        <w:t xml:space="preserve"> sont décrits en Annexe </w:t>
      </w:r>
      <w:r w:rsidR="000B5E77">
        <w:t>2</w:t>
      </w:r>
      <w:r>
        <w:t xml:space="preserve">. </w:t>
      </w:r>
    </w:p>
    <w:p w14:paraId="350FA025" w14:textId="77777777" w:rsidR="00956ECE" w:rsidRDefault="00DB299B" w:rsidP="00474B55">
      <w:pPr>
        <w:pStyle w:val="Paragraphedeliste"/>
        <w:numPr>
          <w:ilvl w:val="1"/>
          <w:numId w:val="17"/>
        </w:numPr>
        <w:ind w:left="1800"/>
      </w:pPr>
      <w:r>
        <w:t>Formulaire complété de demande de qualification (Annexe</w:t>
      </w:r>
      <w:r w:rsidR="000B5E77">
        <w:t xml:space="preserve"> 3</w:t>
      </w:r>
      <w:r>
        <w:t>)</w:t>
      </w:r>
      <w:r w:rsidR="00956ECE">
        <w:t xml:space="preserve">.  </w:t>
      </w:r>
      <w:r w:rsidR="000C0D10">
        <w:t>Remarque</w:t>
      </w:r>
      <w:r w:rsidR="00956ECE">
        <w:t>s</w:t>
      </w:r>
      <w:r w:rsidR="000C0D10">
        <w:t xml:space="preserve"> : </w:t>
      </w:r>
    </w:p>
    <w:p w14:paraId="337F8A60" w14:textId="77777777" w:rsidR="00956ECE" w:rsidRDefault="00956ECE" w:rsidP="00474B55">
      <w:pPr>
        <w:pStyle w:val="Paragraphedeliste"/>
        <w:numPr>
          <w:ilvl w:val="2"/>
          <w:numId w:val="17"/>
        </w:numPr>
        <w:ind w:left="2520"/>
      </w:pPr>
      <w:r>
        <w:t>Les informations fournies via ce formulaire doivent être cohérentes avec les données figurant sur le document CCC.</w:t>
      </w:r>
    </w:p>
    <w:p w14:paraId="3EEC6409" w14:textId="77777777" w:rsidR="000C0D10" w:rsidRDefault="00956ECE" w:rsidP="00474B55">
      <w:pPr>
        <w:pStyle w:val="Paragraphedeliste"/>
        <w:numPr>
          <w:ilvl w:val="2"/>
          <w:numId w:val="17"/>
        </w:numPr>
        <w:ind w:left="2520"/>
      </w:pPr>
      <w:r>
        <w:t>L</w:t>
      </w:r>
      <w:r w:rsidR="000C0D10">
        <w:t xml:space="preserve">orsque plusieurs moyens de flexibilité sont activables sous un même point de raccordement, il convient de compléter une ligne par moyen de flexibilité dans le formulaire de demande de </w:t>
      </w:r>
      <w:r>
        <w:t>qualification</w:t>
      </w:r>
      <w:r w:rsidR="000C0D10">
        <w:t>.</w:t>
      </w:r>
    </w:p>
    <w:p w14:paraId="6F16A72E" w14:textId="12195EEA" w:rsidR="00805D82" w:rsidRPr="00AB7A1D" w:rsidRDefault="00355943" w:rsidP="00355943">
      <w:pPr>
        <w:pStyle w:val="Paragraphedeliste"/>
        <w:numPr>
          <w:ilvl w:val="0"/>
          <w:numId w:val="23"/>
        </w:numPr>
        <w:rPr>
          <w:lang w:val="fr-BE"/>
        </w:rPr>
      </w:pPr>
      <w:r w:rsidRPr="00AB7A1D">
        <w:rPr>
          <w:lang w:val="fr-BE"/>
        </w:rPr>
        <w:t xml:space="preserve">Pour chaque </w:t>
      </w:r>
      <w:r w:rsidR="00AB7A1D" w:rsidRPr="00AB7A1D">
        <w:rPr>
          <w:lang w:val="fr-BE"/>
        </w:rPr>
        <w:t>moyen de f</w:t>
      </w:r>
      <w:r w:rsidR="00AB7A1D">
        <w:rPr>
          <w:lang w:val="fr-BE"/>
        </w:rPr>
        <w:t xml:space="preserve">lexibilité la direction </w:t>
      </w:r>
      <w:r w:rsidR="00031FA9">
        <w:rPr>
          <w:lang w:val="fr-BE"/>
        </w:rPr>
        <w:t xml:space="preserve">(UP / DOWN) </w:t>
      </w:r>
      <w:r w:rsidR="00AB7A1D">
        <w:rPr>
          <w:lang w:val="fr-BE"/>
        </w:rPr>
        <w:t xml:space="preserve">doit être </w:t>
      </w:r>
      <w:r w:rsidR="00031FA9">
        <w:rPr>
          <w:lang w:val="fr-BE"/>
        </w:rPr>
        <w:t>indiquée dans l’An</w:t>
      </w:r>
      <w:r w:rsidR="00F839CD">
        <w:rPr>
          <w:lang w:val="fr-BE"/>
        </w:rPr>
        <w:t>n</w:t>
      </w:r>
      <w:r w:rsidR="00031FA9">
        <w:rPr>
          <w:lang w:val="fr-BE"/>
        </w:rPr>
        <w:t xml:space="preserve">exe 3. </w:t>
      </w:r>
    </w:p>
    <w:p w14:paraId="49C94B92" w14:textId="725AE9E2" w:rsidR="007B7467" w:rsidRPr="00F03763" w:rsidRDefault="00DB299B" w:rsidP="00474B55">
      <w:pPr>
        <w:pStyle w:val="Paragraphedeliste"/>
        <w:numPr>
          <w:ilvl w:val="1"/>
          <w:numId w:val="17"/>
        </w:numPr>
        <w:ind w:left="1800"/>
        <w:rPr>
          <w:lang w:val="fr-BE"/>
        </w:rPr>
      </w:pPr>
      <w:r w:rsidRPr="00F03763">
        <w:rPr>
          <w:lang w:val="fr-BE"/>
        </w:rPr>
        <w:t>Mandat de l’URD (si la demande est introduite par un tiers)</w:t>
      </w:r>
      <w:r w:rsidR="007B7467" w:rsidRPr="00F03763">
        <w:rPr>
          <w:lang w:val="fr-BE"/>
        </w:rPr>
        <w:t xml:space="preserve"> </w:t>
      </w:r>
    </w:p>
    <w:p w14:paraId="1F7C96C8" w14:textId="77777777" w:rsidR="002715D4" w:rsidRPr="00F03763" w:rsidRDefault="002715D4" w:rsidP="00474B55">
      <w:pPr>
        <w:ind w:left="360"/>
        <w:rPr>
          <w:highlight w:val="yellow"/>
          <w:lang w:val="fr-BE"/>
        </w:rPr>
      </w:pPr>
      <w:bookmarkStart w:id="83" w:name="_Toc438464630"/>
      <w:bookmarkStart w:id="84" w:name="_Toc438465085"/>
      <w:bookmarkEnd w:id="83"/>
      <w:bookmarkEnd w:id="84"/>
    </w:p>
    <w:p w14:paraId="09B14316" w14:textId="1F68A2F5" w:rsidR="008D69E4" w:rsidRDefault="008D69E4" w:rsidP="007E7520">
      <w:pPr>
        <w:ind w:left="360"/>
        <w:jc w:val="both"/>
        <w:rPr>
          <w:lang w:val="fr-FR" w:eastAsia="nl-NL"/>
        </w:rPr>
      </w:pPr>
      <w:r>
        <w:rPr>
          <w:lang w:val="fr-FR" w:eastAsia="nl-NL"/>
        </w:rPr>
        <w:t>Par demande, il faut également</w:t>
      </w:r>
      <w:r w:rsidR="000B5E77">
        <w:rPr>
          <w:lang w:val="fr-FR" w:eastAsia="nl-NL"/>
        </w:rPr>
        <w:t xml:space="preserve"> </w:t>
      </w:r>
      <w:r>
        <w:rPr>
          <w:lang w:val="fr-FR" w:eastAsia="nl-NL"/>
        </w:rPr>
        <w:t>entendre toute modification d’une demande antérieure, par exemple concernant le volume de flexibilité, le moyen technique utilisé</w:t>
      </w:r>
      <w:r w:rsidR="00F32442">
        <w:rPr>
          <w:lang w:val="fr-FR" w:eastAsia="nl-NL"/>
        </w:rPr>
        <w:t xml:space="preserve">. </w:t>
      </w:r>
    </w:p>
    <w:p w14:paraId="48FF7929" w14:textId="77777777" w:rsidR="001B570E" w:rsidRDefault="001B570E" w:rsidP="00474B55">
      <w:pPr>
        <w:keepNext/>
        <w:keepLines/>
        <w:widowControl w:val="0"/>
        <w:ind w:left="360"/>
        <w:contextualSpacing/>
        <w:jc w:val="both"/>
        <w:rPr>
          <w:rFonts w:cs="Arial"/>
          <w:bCs/>
          <w:szCs w:val="20"/>
          <w:lang w:val="fr-FR"/>
        </w:rPr>
      </w:pPr>
      <w:r>
        <w:rPr>
          <w:rFonts w:cs="Arial"/>
          <w:bCs/>
          <w:szCs w:val="20"/>
          <w:lang w:val="fr-FR"/>
        </w:rPr>
        <w:t>En cas de demande de qualification non recevable, le GRD en informe le demandeur</w:t>
      </w:r>
      <w:r w:rsidR="00B275AA">
        <w:rPr>
          <w:rFonts w:cs="Arial"/>
          <w:bCs/>
          <w:szCs w:val="20"/>
          <w:lang w:val="fr-FR"/>
        </w:rPr>
        <w:t xml:space="preserve"> dans les 5 jours ouvrables suivant la réception de la demande</w:t>
      </w:r>
      <w:r>
        <w:rPr>
          <w:rFonts w:cs="Arial"/>
          <w:bCs/>
          <w:szCs w:val="20"/>
          <w:lang w:val="fr-FR"/>
        </w:rPr>
        <w:t>. Une telle demande n’est pas prise en compte lors de l’étude NFS.</w:t>
      </w:r>
    </w:p>
    <w:p w14:paraId="0BD7F1F0" w14:textId="77777777" w:rsidR="001B570E" w:rsidRDefault="001B570E" w:rsidP="00474B55">
      <w:pPr>
        <w:keepNext/>
        <w:keepLines/>
        <w:widowControl w:val="0"/>
        <w:ind w:left="360"/>
        <w:contextualSpacing/>
        <w:jc w:val="both"/>
        <w:rPr>
          <w:rFonts w:cs="Arial"/>
          <w:bCs/>
          <w:szCs w:val="20"/>
          <w:lang w:val="fr-FR"/>
        </w:rPr>
      </w:pPr>
    </w:p>
    <w:p w14:paraId="75BECE2F" w14:textId="5892913D" w:rsidR="001B570E" w:rsidRDefault="00850772" w:rsidP="00474B55">
      <w:pPr>
        <w:keepNext/>
        <w:keepLines/>
        <w:widowControl w:val="0"/>
        <w:ind w:left="360"/>
        <w:contextualSpacing/>
        <w:jc w:val="both"/>
        <w:rPr>
          <w:rFonts w:eastAsia="Times New Roman"/>
          <w:bCs/>
          <w:iCs/>
          <w:szCs w:val="24"/>
          <w:lang w:val="fr-FR" w:eastAsia="nl-NL"/>
        </w:rPr>
      </w:pPr>
      <w:r w:rsidRPr="00850772">
        <w:rPr>
          <w:rFonts w:eastAsia="Times New Roman"/>
          <w:bCs/>
          <w:iCs/>
          <w:szCs w:val="24"/>
          <w:lang w:val="fr-FR" w:eastAsia="nl-NL"/>
        </w:rPr>
        <w:t>Tou</w:t>
      </w:r>
      <w:r>
        <w:rPr>
          <w:rFonts w:eastAsia="Times New Roman"/>
          <w:bCs/>
          <w:iCs/>
          <w:szCs w:val="24"/>
          <w:lang w:val="fr-FR" w:eastAsia="nl-NL"/>
        </w:rPr>
        <w:t>t demandeur</w:t>
      </w:r>
      <w:r w:rsidRPr="00850772">
        <w:rPr>
          <w:rFonts w:eastAsia="Times New Roman"/>
          <w:bCs/>
          <w:iCs/>
          <w:szCs w:val="24"/>
          <w:lang w:val="fr-FR" w:eastAsia="nl-NL"/>
        </w:rPr>
        <w:t xml:space="preserve"> peut introduire une</w:t>
      </w:r>
      <w:r>
        <w:rPr>
          <w:rFonts w:eastAsia="Times New Roman"/>
          <w:bCs/>
          <w:iCs/>
          <w:szCs w:val="24"/>
          <w:lang w:val="fr-FR" w:eastAsia="nl-NL"/>
        </w:rPr>
        <w:t xml:space="preserve"> </w:t>
      </w:r>
      <w:r w:rsidRPr="00850772">
        <w:rPr>
          <w:rFonts w:eastAsia="Times New Roman"/>
          <w:bCs/>
          <w:iCs/>
          <w:szCs w:val="24"/>
          <w:lang w:val="fr-FR" w:eastAsia="nl-NL"/>
        </w:rPr>
        <w:t xml:space="preserve">demande </w:t>
      </w:r>
      <w:r w:rsidRPr="009E433B">
        <w:rPr>
          <w:rFonts w:eastAsia="Times New Roman"/>
          <w:bCs/>
          <w:iCs/>
          <w:szCs w:val="24"/>
          <w:lang w:val="fr-FR" w:eastAsia="nl-NL"/>
        </w:rPr>
        <w:t xml:space="preserve">de </w:t>
      </w:r>
      <w:r w:rsidR="008A5F49" w:rsidRPr="009E433B">
        <w:rPr>
          <w:rFonts w:eastAsia="Times New Roman"/>
          <w:bCs/>
          <w:iCs/>
          <w:szCs w:val="24"/>
          <w:lang w:val="fr-FR" w:eastAsia="nl-NL"/>
        </w:rPr>
        <w:t>qualification</w:t>
      </w:r>
      <w:r w:rsidR="008A5F49">
        <w:rPr>
          <w:rFonts w:eastAsia="Times New Roman"/>
          <w:bCs/>
          <w:iCs/>
          <w:szCs w:val="24"/>
          <w:lang w:val="fr-FR" w:eastAsia="nl-NL"/>
        </w:rPr>
        <w:t xml:space="preserve"> </w:t>
      </w:r>
      <w:r w:rsidRPr="00850772">
        <w:rPr>
          <w:rFonts w:eastAsia="Times New Roman"/>
          <w:bCs/>
          <w:iCs/>
          <w:szCs w:val="24"/>
          <w:lang w:val="fr-FR" w:eastAsia="nl-NL"/>
        </w:rPr>
        <w:t xml:space="preserve">auprès du </w:t>
      </w:r>
      <w:r w:rsidR="002F105A">
        <w:rPr>
          <w:rFonts w:eastAsia="Times New Roman"/>
          <w:bCs/>
          <w:iCs/>
          <w:szCs w:val="24"/>
          <w:lang w:val="fr-FR" w:eastAsia="nl-NL"/>
        </w:rPr>
        <w:t>GRD</w:t>
      </w:r>
      <w:r w:rsidRPr="00850772">
        <w:rPr>
          <w:rFonts w:eastAsia="Times New Roman"/>
          <w:bCs/>
          <w:iCs/>
          <w:szCs w:val="24"/>
          <w:lang w:val="fr-FR" w:eastAsia="nl-NL"/>
        </w:rPr>
        <w:t>. Cette demande implique la réalisation</w:t>
      </w:r>
      <w:r>
        <w:rPr>
          <w:rFonts w:eastAsia="Times New Roman"/>
          <w:bCs/>
          <w:iCs/>
          <w:szCs w:val="24"/>
          <w:lang w:val="fr-FR" w:eastAsia="nl-NL"/>
        </w:rPr>
        <w:t xml:space="preserve"> </w:t>
      </w:r>
      <w:r w:rsidRPr="00850772">
        <w:rPr>
          <w:rFonts w:eastAsia="Times New Roman"/>
          <w:bCs/>
          <w:iCs/>
          <w:szCs w:val="24"/>
          <w:lang w:val="fr-FR" w:eastAsia="nl-NL"/>
        </w:rPr>
        <w:t xml:space="preserve">par le </w:t>
      </w:r>
      <w:r w:rsidR="002F105A">
        <w:rPr>
          <w:rFonts w:eastAsia="Times New Roman"/>
          <w:bCs/>
          <w:iCs/>
          <w:szCs w:val="24"/>
          <w:lang w:val="fr-FR" w:eastAsia="nl-NL"/>
        </w:rPr>
        <w:t xml:space="preserve">GRD </w:t>
      </w:r>
      <w:r w:rsidRPr="00850772">
        <w:rPr>
          <w:rFonts w:eastAsia="Times New Roman"/>
          <w:bCs/>
          <w:iCs/>
          <w:szCs w:val="24"/>
          <w:lang w:val="fr-FR" w:eastAsia="nl-NL"/>
        </w:rPr>
        <w:t>d’une é</w:t>
      </w:r>
      <w:r>
        <w:rPr>
          <w:rFonts w:eastAsia="Times New Roman"/>
          <w:bCs/>
          <w:iCs/>
          <w:szCs w:val="24"/>
          <w:lang w:val="fr-FR" w:eastAsia="nl-NL"/>
        </w:rPr>
        <w:t>tude NFS</w:t>
      </w:r>
      <w:r w:rsidRPr="00850772">
        <w:rPr>
          <w:rFonts w:eastAsia="Times New Roman"/>
          <w:bCs/>
          <w:iCs/>
          <w:szCs w:val="24"/>
          <w:lang w:val="fr-FR" w:eastAsia="nl-NL"/>
        </w:rPr>
        <w:t xml:space="preserve">, </w:t>
      </w:r>
      <w:r>
        <w:rPr>
          <w:rFonts w:eastAsia="Times New Roman"/>
          <w:bCs/>
          <w:iCs/>
          <w:szCs w:val="24"/>
          <w:lang w:val="fr-FR" w:eastAsia="nl-NL"/>
        </w:rPr>
        <w:t xml:space="preserve">et </w:t>
      </w:r>
      <w:r w:rsidRPr="00850772">
        <w:rPr>
          <w:rFonts w:eastAsia="Times New Roman"/>
          <w:bCs/>
          <w:iCs/>
          <w:szCs w:val="24"/>
          <w:lang w:val="fr-FR" w:eastAsia="nl-NL"/>
        </w:rPr>
        <w:t>dont</w:t>
      </w:r>
      <w:r>
        <w:rPr>
          <w:rFonts w:eastAsia="Times New Roman"/>
          <w:bCs/>
          <w:iCs/>
          <w:szCs w:val="24"/>
          <w:lang w:val="fr-FR" w:eastAsia="nl-NL"/>
        </w:rPr>
        <w:t>, le cas échéant,</w:t>
      </w:r>
      <w:r w:rsidRPr="00850772">
        <w:rPr>
          <w:rFonts w:eastAsia="Times New Roman"/>
          <w:bCs/>
          <w:iCs/>
          <w:szCs w:val="24"/>
          <w:lang w:val="fr-FR" w:eastAsia="nl-NL"/>
        </w:rPr>
        <w:t xml:space="preserve"> les frais sont à charge du demandeur selon</w:t>
      </w:r>
      <w:r>
        <w:rPr>
          <w:rFonts w:eastAsia="Times New Roman"/>
          <w:bCs/>
          <w:iCs/>
          <w:szCs w:val="24"/>
          <w:lang w:val="fr-FR" w:eastAsia="nl-NL"/>
        </w:rPr>
        <w:t xml:space="preserve"> </w:t>
      </w:r>
      <w:r w:rsidRPr="00850772">
        <w:rPr>
          <w:rFonts w:eastAsia="Times New Roman"/>
          <w:bCs/>
          <w:iCs/>
          <w:szCs w:val="24"/>
          <w:lang w:val="fr-FR" w:eastAsia="nl-NL"/>
        </w:rPr>
        <w:t>le tarif applicable approuvé par l</w:t>
      </w:r>
      <w:r w:rsidR="001B732C">
        <w:rPr>
          <w:rFonts w:eastAsia="Times New Roman"/>
          <w:bCs/>
          <w:iCs/>
          <w:szCs w:val="24"/>
          <w:lang w:val="fr-FR" w:eastAsia="nl-NL"/>
        </w:rPr>
        <w:t>e régulateur concerné.</w:t>
      </w:r>
    </w:p>
    <w:p w14:paraId="33F8E21A" w14:textId="77777777" w:rsidR="001B570E" w:rsidRDefault="001B570E" w:rsidP="00474B55">
      <w:pPr>
        <w:ind w:left="360"/>
        <w:rPr>
          <w:lang w:val="fr-FR" w:eastAsia="nl-NL"/>
        </w:rPr>
      </w:pPr>
    </w:p>
    <w:p w14:paraId="6E06D131" w14:textId="77777777" w:rsidR="000B4722" w:rsidRDefault="000C0D10" w:rsidP="0055160A">
      <w:pPr>
        <w:ind w:left="360"/>
        <w:jc w:val="both"/>
        <w:rPr>
          <w:lang w:val="fr-FR" w:eastAsia="nl-NL"/>
        </w:rPr>
      </w:pPr>
      <w:r>
        <w:rPr>
          <w:lang w:val="fr-FR" w:eastAsia="nl-NL"/>
        </w:rPr>
        <w:t>Via</w:t>
      </w:r>
      <w:r w:rsidR="00350D86">
        <w:rPr>
          <w:lang w:val="fr-FR" w:eastAsia="nl-NL"/>
        </w:rPr>
        <w:t xml:space="preserve"> le</w:t>
      </w:r>
      <w:r w:rsidR="00E8044F">
        <w:rPr>
          <w:lang w:val="fr-FR" w:eastAsia="nl-NL"/>
        </w:rPr>
        <w:t xml:space="preserve"> </w:t>
      </w:r>
      <w:r w:rsidR="000B4722">
        <w:rPr>
          <w:lang w:val="fr-FR" w:eastAsia="nl-NL"/>
        </w:rPr>
        <w:t xml:space="preserve">formulaire de demande de </w:t>
      </w:r>
      <w:r w:rsidR="00DB299B">
        <w:rPr>
          <w:lang w:val="fr-FR" w:eastAsia="nl-NL"/>
        </w:rPr>
        <w:t>qualification</w:t>
      </w:r>
      <w:r>
        <w:rPr>
          <w:lang w:val="fr-FR" w:eastAsia="nl-NL"/>
        </w:rPr>
        <w:t>, l</w:t>
      </w:r>
      <w:r w:rsidR="000E4616">
        <w:rPr>
          <w:lang w:val="fr-FR" w:eastAsia="nl-NL"/>
        </w:rPr>
        <w:t>e demandeur</w:t>
      </w:r>
      <w:r>
        <w:rPr>
          <w:lang w:val="fr-FR" w:eastAsia="nl-NL"/>
        </w:rPr>
        <w:t xml:space="preserve"> fournit en particulier les informations suivantes au GRD</w:t>
      </w:r>
      <w:r w:rsidR="00350D86">
        <w:rPr>
          <w:lang w:val="fr-FR" w:eastAsia="nl-NL"/>
        </w:rPr>
        <w:t> :</w:t>
      </w:r>
    </w:p>
    <w:p w14:paraId="16942529" w14:textId="77777777" w:rsidR="001852C6" w:rsidRPr="001852C6" w:rsidRDefault="001852C6" w:rsidP="0055160A">
      <w:pPr>
        <w:spacing w:before="120"/>
        <w:ind w:left="360"/>
        <w:jc w:val="both"/>
        <w:rPr>
          <w:u w:val="single"/>
          <w:lang w:val="fr-FR" w:eastAsia="nl-NL"/>
        </w:rPr>
      </w:pPr>
      <w:r w:rsidRPr="001852C6">
        <w:rPr>
          <w:u w:val="single"/>
          <w:lang w:val="fr-FR" w:eastAsia="nl-NL"/>
        </w:rPr>
        <w:t>Information</w:t>
      </w:r>
      <w:r w:rsidR="00B50D09">
        <w:rPr>
          <w:u w:val="single"/>
          <w:lang w:val="fr-FR" w:eastAsia="nl-NL"/>
        </w:rPr>
        <w:t>s</w:t>
      </w:r>
      <w:r w:rsidRPr="001852C6">
        <w:rPr>
          <w:u w:val="single"/>
          <w:lang w:val="fr-FR" w:eastAsia="nl-NL"/>
        </w:rPr>
        <w:t xml:space="preserve"> générale</w:t>
      </w:r>
      <w:r w:rsidR="00B50D09">
        <w:rPr>
          <w:u w:val="single"/>
          <w:lang w:val="fr-FR" w:eastAsia="nl-NL"/>
        </w:rPr>
        <w:t>s</w:t>
      </w:r>
      <w:r w:rsidRPr="001852C6">
        <w:rPr>
          <w:u w:val="single"/>
          <w:lang w:val="fr-FR" w:eastAsia="nl-NL"/>
        </w:rPr>
        <w:t xml:space="preserve"> sur le point de raccordement</w:t>
      </w:r>
      <w:r>
        <w:rPr>
          <w:u w:val="single"/>
          <w:lang w:val="fr-FR" w:eastAsia="nl-NL"/>
        </w:rPr>
        <w:t> :</w:t>
      </w:r>
    </w:p>
    <w:p w14:paraId="4C626026" w14:textId="77777777" w:rsidR="000B4722" w:rsidRDefault="000B4722" w:rsidP="0055160A">
      <w:pPr>
        <w:pStyle w:val="Paragraphedeliste"/>
        <w:numPr>
          <w:ilvl w:val="0"/>
          <w:numId w:val="10"/>
        </w:numPr>
        <w:ind w:left="720"/>
      </w:pPr>
      <w:r>
        <w:t>EAN </w:t>
      </w:r>
      <w:r w:rsidR="00D32E46">
        <w:t xml:space="preserve">de </w:t>
      </w:r>
      <w:r w:rsidR="007134E4">
        <w:t>prélèvement</w:t>
      </w:r>
      <w:r w:rsidR="00D32E46">
        <w:t xml:space="preserve"> et, le cas échéant, EAN d’injection</w:t>
      </w:r>
      <w:r w:rsidR="00EA0305">
        <w:t>.</w:t>
      </w:r>
    </w:p>
    <w:p w14:paraId="750F6BDE" w14:textId="77777777" w:rsidR="000B4722" w:rsidRDefault="005A6DC0" w:rsidP="0055160A">
      <w:pPr>
        <w:pStyle w:val="Paragraphedeliste"/>
        <w:numPr>
          <w:ilvl w:val="0"/>
          <w:numId w:val="10"/>
        </w:numPr>
        <w:ind w:left="720"/>
      </w:pPr>
      <w:r>
        <w:t>N</w:t>
      </w:r>
      <w:r w:rsidR="000B4722">
        <w:t xml:space="preserve">om </w:t>
      </w:r>
      <w:r w:rsidR="00C00EDF">
        <w:t xml:space="preserve">de l’URD </w:t>
      </w:r>
      <w:r w:rsidR="000B4722">
        <w:t xml:space="preserve">et adresse du </w:t>
      </w:r>
      <w:r w:rsidR="005E42D8">
        <w:t>point de raccordement</w:t>
      </w:r>
      <w:r w:rsidR="003C67ED">
        <w:t>.</w:t>
      </w:r>
    </w:p>
    <w:p w14:paraId="6BAA0A39" w14:textId="09DAC321" w:rsidR="000B4722" w:rsidRDefault="000B4722" w:rsidP="0055160A">
      <w:pPr>
        <w:pStyle w:val="Paragraphedeliste"/>
        <w:numPr>
          <w:ilvl w:val="0"/>
          <w:numId w:val="10"/>
        </w:numPr>
        <w:ind w:left="720"/>
      </w:pPr>
      <w:r>
        <w:t>N° de la cabine du point de raccordement</w:t>
      </w:r>
      <w:r w:rsidR="00C00EDF">
        <w:t xml:space="preserve"> (si connu d</w:t>
      </w:r>
      <w:r w:rsidR="000E4616">
        <w:t>u demandeur</w:t>
      </w:r>
      <w:r w:rsidR="00C00EDF">
        <w:t>)</w:t>
      </w:r>
      <w:r>
        <w:t xml:space="preserve"> : Cette information est généralement </w:t>
      </w:r>
      <w:r w:rsidR="002E3FC4">
        <w:t>indiquée sur la plaque signalétique placée sur la porte de ladite cabine.</w:t>
      </w:r>
    </w:p>
    <w:p w14:paraId="7557202B" w14:textId="77777777" w:rsidR="00684ABB" w:rsidRDefault="00684ABB" w:rsidP="0055160A">
      <w:pPr>
        <w:pStyle w:val="Paragraphedeliste"/>
        <w:ind w:left="360"/>
      </w:pPr>
    </w:p>
    <w:p w14:paraId="2A7A0E61" w14:textId="77777777" w:rsidR="001852C6" w:rsidRPr="001852C6" w:rsidRDefault="001852C6" w:rsidP="0055160A">
      <w:pPr>
        <w:ind w:left="360"/>
        <w:jc w:val="both"/>
        <w:rPr>
          <w:u w:val="single"/>
          <w:lang w:val="fr-BE"/>
        </w:rPr>
      </w:pPr>
      <w:r w:rsidRPr="001852C6">
        <w:rPr>
          <w:u w:val="single"/>
          <w:lang w:val="fr-BE"/>
        </w:rPr>
        <w:t>Information</w:t>
      </w:r>
      <w:r w:rsidR="00B50D09">
        <w:rPr>
          <w:u w:val="single"/>
          <w:lang w:val="fr-BE"/>
        </w:rPr>
        <w:t>s</w:t>
      </w:r>
      <w:r w:rsidRPr="001852C6">
        <w:rPr>
          <w:u w:val="single"/>
          <w:lang w:val="fr-BE"/>
        </w:rPr>
        <w:t xml:space="preserve"> sur la réalisation de la flexibilité</w:t>
      </w:r>
      <w:r>
        <w:rPr>
          <w:u w:val="single"/>
          <w:lang w:val="fr-BE"/>
        </w:rPr>
        <w:t> :</w:t>
      </w:r>
      <w:r w:rsidR="00BE0798">
        <w:rPr>
          <w:u w:val="single"/>
          <w:lang w:val="fr-BE"/>
        </w:rPr>
        <w:t xml:space="preserve"> </w:t>
      </w:r>
    </w:p>
    <w:p w14:paraId="2786635A" w14:textId="3720C2E0" w:rsidR="002E58B6" w:rsidRDefault="002E58B6" w:rsidP="0055160A">
      <w:pPr>
        <w:pStyle w:val="Paragraphedeliste"/>
        <w:numPr>
          <w:ilvl w:val="0"/>
          <w:numId w:val="10"/>
        </w:numPr>
        <w:ind w:left="720"/>
      </w:pPr>
      <w:r>
        <w:t>Type de réglage</w:t>
      </w:r>
      <w:r w:rsidR="00C77F8F">
        <w:t>:</w:t>
      </w:r>
    </w:p>
    <w:p w14:paraId="699E2B71" w14:textId="77777777" w:rsidR="00CA5DE5" w:rsidRPr="00DC1BB6" w:rsidRDefault="00064167" w:rsidP="0055160A">
      <w:pPr>
        <w:pStyle w:val="Paragraphedeliste"/>
        <w:numPr>
          <w:ilvl w:val="1"/>
          <w:numId w:val="10"/>
        </w:numPr>
        <w:ind w:left="1440"/>
      </w:pPr>
      <w:r>
        <w:t xml:space="preserve"> </w:t>
      </w:r>
      <w:r w:rsidRPr="00DC1BB6">
        <w:t xml:space="preserve">par réduction de </w:t>
      </w:r>
      <w:r w:rsidR="00B2117A" w:rsidRPr="00DC1BB6">
        <w:t>consommation</w:t>
      </w:r>
    </w:p>
    <w:p w14:paraId="73F56D48" w14:textId="77777777" w:rsidR="000D7720" w:rsidRPr="00DC1BB6" w:rsidRDefault="00491F61" w:rsidP="0055160A">
      <w:pPr>
        <w:pStyle w:val="Paragraphedeliste"/>
        <w:numPr>
          <w:ilvl w:val="1"/>
          <w:numId w:val="10"/>
        </w:numPr>
        <w:ind w:left="1440"/>
      </w:pPr>
      <w:r w:rsidRPr="00DC1BB6">
        <w:t xml:space="preserve"> par augmentation de consommation</w:t>
      </w:r>
    </w:p>
    <w:p w14:paraId="296E5E31" w14:textId="77777777" w:rsidR="00491F61" w:rsidRPr="00DC1BB6" w:rsidRDefault="00491F61" w:rsidP="0055160A">
      <w:pPr>
        <w:pStyle w:val="Paragraphedeliste"/>
        <w:numPr>
          <w:ilvl w:val="1"/>
          <w:numId w:val="10"/>
        </w:numPr>
        <w:ind w:left="1440"/>
      </w:pPr>
      <w:r w:rsidRPr="00DC1BB6">
        <w:t xml:space="preserve"> par réduction de production</w:t>
      </w:r>
    </w:p>
    <w:p w14:paraId="0A203B2C" w14:textId="77777777" w:rsidR="00110147" w:rsidRPr="00DC1BB6" w:rsidRDefault="00491F61" w:rsidP="0055160A">
      <w:pPr>
        <w:pStyle w:val="Paragraphedeliste"/>
        <w:numPr>
          <w:ilvl w:val="1"/>
          <w:numId w:val="10"/>
        </w:numPr>
        <w:ind w:left="1440"/>
      </w:pPr>
      <w:r w:rsidRPr="00DC1BB6">
        <w:t xml:space="preserve"> par augmentation de production</w:t>
      </w:r>
    </w:p>
    <w:p w14:paraId="118AB166" w14:textId="77777777" w:rsidR="000D7720" w:rsidRPr="00DC1BB6" w:rsidRDefault="000D7720" w:rsidP="0055160A">
      <w:pPr>
        <w:pStyle w:val="Paragraphedeliste"/>
        <w:numPr>
          <w:ilvl w:val="1"/>
          <w:numId w:val="10"/>
        </w:numPr>
        <w:ind w:left="1440"/>
      </w:pPr>
      <w:r w:rsidRPr="00DC1BB6">
        <w:t xml:space="preserve"> par </w:t>
      </w:r>
      <w:r w:rsidR="00AF4FDD" w:rsidRPr="00DC1BB6">
        <w:t xml:space="preserve">fonctionnement en </w:t>
      </w:r>
      <w:r w:rsidR="00F96798" w:rsidRPr="00DC1BB6">
        <w:t xml:space="preserve">îlotage via </w:t>
      </w:r>
      <w:r w:rsidRPr="00DC1BB6">
        <w:t xml:space="preserve">une production d’électricité locale </w:t>
      </w:r>
    </w:p>
    <w:p w14:paraId="10C44231" w14:textId="77777777" w:rsidR="002E58B6" w:rsidRDefault="002E58B6" w:rsidP="0055160A">
      <w:pPr>
        <w:pStyle w:val="Paragraphedeliste"/>
        <w:numPr>
          <w:ilvl w:val="0"/>
          <w:numId w:val="10"/>
        </w:numPr>
        <w:ind w:left="720"/>
      </w:pPr>
      <w:r>
        <w:t>Puissance activable (kW)</w:t>
      </w:r>
    </w:p>
    <w:p w14:paraId="542C04C0" w14:textId="77777777" w:rsidR="001852C6" w:rsidRDefault="001852C6" w:rsidP="0055160A">
      <w:pPr>
        <w:pStyle w:val="Paragraphedeliste"/>
        <w:numPr>
          <w:ilvl w:val="0"/>
          <w:numId w:val="10"/>
        </w:numPr>
        <w:ind w:left="720"/>
      </w:pPr>
      <w:r>
        <w:t xml:space="preserve">Horaire </w:t>
      </w:r>
      <w:r w:rsidR="0015667D">
        <w:t>possible</w:t>
      </w:r>
      <w:r>
        <w:t xml:space="preserve"> d’activation : indique</w:t>
      </w:r>
      <w:r w:rsidR="0009622B">
        <w:t>r</w:t>
      </w:r>
      <w:r>
        <w:t xml:space="preserve"> si</w:t>
      </w:r>
      <w:r w:rsidR="0009622B">
        <w:t>, du point de vue d</w:t>
      </w:r>
      <w:r w:rsidR="000E4616">
        <w:t>u demandeur</w:t>
      </w:r>
      <w:r w:rsidR="0009622B">
        <w:t>,</w:t>
      </w:r>
      <w:r>
        <w:t xml:space="preserve"> la flexibilité peut être utilisée 24h/24 7 jours sur 7. Dans le cas contraire </w:t>
      </w:r>
      <w:r w:rsidR="004F0246">
        <w:t>précise</w:t>
      </w:r>
      <w:r w:rsidR="0009622B">
        <w:t>r</w:t>
      </w:r>
      <w:r>
        <w:t xml:space="preserve"> quand cette flexibilité est effectivement disponible. Par exemple, uniquement les jours ouvrables, de 8h à 17h, de janvier à </w:t>
      </w:r>
      <w:r w:rsidR="009C54D5">
        <w:t>m</w:t>
      </w:r>
      <w:r>
        <w:t>ai.</w:t>
      </w:r>
    </w:p>
    <w:p w14:paraId="40732764" w14:textId="77777777" w:rsidR="001852C6" w:rsidRPr="00F03763" w:rsidRDefault="001852C6" w:rsidP="00474B55">
      <w:pPr>
        <w:ind w:left="360"/>
        <w:rPr>
          <w:lang w:val="fr-BE" w:eastAsia="nl-NL"/>
        </w:rPr>
      </w:pPr>
    </w:p>
    <w:p w14:paraId="1CBAFB1A" w14:textId="77777777" w:rsidR="000B4722" w:rsidRDefault="00455946" w:rsidP="00474B55">
      <w:pPr>
        <w:ind w:left="360"/>
        <w:rPr>
          <w:u w:val="single"/>
          <w:lang w:val="fr-FR" w:eastAsia="nl-NL"/>
        </w:rPr>
      </w:pPr>
      <w:r>
        <w:rPr>
          <w:u w:val="single"/>
          <w:lang w:val="fr-FR" w:eastAsia="nl-NL"/>
        </w:rPr>
        <w:lastRenderedPageBreak/>
        <w:t>Information</w:t>
      </w:r>
      <w:r w:rsidR="007C216A">
        <w:rPr>
          <w:u w:val="single"/>
          <w:lang w:val="fr-FR" w:eastAsia="nl-NL"/>
        </w:rPr>
        <w:t>s</w:t>
      </w:r>
      <w:r>
        <w:rPr>
          <w:u w:val="single"/>
          <w:lang w:val="fr-FR" w:eastAsia="nl-NL"/>
        </w:rPr>
        <w:t xml:space="preserve"> sur la récupérat</w:t>
      </w:r>
      <w:r w:rsidR="001852C6" w:rsidRPr="001852C6">
        <w:rPr>
          <w:u w:val="single"/>
          <w:lang w:val="fr-FR" w:eastAsia="nl-NL"/>
        </w:rPr>
        <w:t>i</w:t>
      </w:r>
      <w:r>
        <w:rPr>
          <w:u w:val="single"/>
          <w:lang w:val="fr-FR" w:eastAsia="nl-NL"/>
        </w:rPr>
        <w:t>o</w:t>
      </w:r>
      <w:r w:rsidR="001852C6" w:rsidRPr="001852C6">
        <w:rPr>
          <w:u w:val="single"/>
          <w:lang w:val="fr-FR" w:eastAsia="nl-NL"/>
        </w:rPr>
        <w:t>n de l’énergie</w:t>
      </w:r>
    </w:p>
    <w:p w14:paraId="4C3FCAC5" w14:textId="77777777" w:rsidR="00455946" w:rsidRDefault="0009622B" w:rsidP="00474B55">
      <w:pPr>
        <w:ind w:left="360"/>
        <w:rPr>
          <w:lang w:val="fr-FR" w:eastAsia="nl-NL"/>
        </w:rPr>
      </w:pPr>
      <w:r>
        <w:rPr>
          <w:lang w:val="fr-FR" w:eastAsia="nl-NL"/>
        </w:rPr>
        <w:t>C</w:t>
      </w:r>
      <w:r w:rsidR="00455946" w:rsidRPr="00455946">
        <w:rPr>
          <w:lang w:val="fr-FR" w:eastAsia="nl-NL"/>
        </w:rPr>
        <w:t>es informations servent au GRD à évaluer l’effet</w:t>
      </w:r>
      <w:r w:rsidR="001A20C3">
        <w:rPr>
          <w:lang w:val="fr-FR" w:eastAsia="nl-NL"/>
        </w:rPr>
        <w:t xml:space="preserve"> rebond éventuel sur son réseau :</w:t>
      </w:r>
    </w:p>
    <w:p w14:paraId="4652B57E" w14:textId="77777777" w:rsidR="001852C6" w:rsidRDefault="00455946" w:rsidP="00474B55">
      <w:pPr>
        <w:pStyle w:val="Paragraphedeliste"/>
        <w:numPr>
          <w:ilvl w:val="0"/>
          <w:numId w:val="11"/>
        </w:numPr>
        <w:spacing w:before="120"/>
        <w:ind w:left="717" w:hanging="357"/>
      </w:pPr>
      <w:r>
        <w:t>Type de récupération : renseigne</w:t>
      </w:r>
      <w:r w:rsidR="0009622B">
        <w:t>r</w:t>
      </w:r>
      <w:r>
        <w:t xml:space="preserve"> si </w:t>
      </w:r>
      <w:r w:rsidR="0009622B">
        <w:t xml:space="preserve">l’énergie </w:t>
      </w:r>
      <w:r w:rsidR="007526DB">
        <w:t>non prélevée</w:t>
      </w:r>
      <w:r w:rsidR="0009622B">
        <w:t xml:space="preserve"> pendant l</w:t>
      </w:r>
      <w:r w:rsidR="00F955CA">
        <w:t>a période d</w:t>
      </w:r>
      <w:r w:rsidR="0009622B">
        <w:t>’activation est récupérée par après</w:t>
      </w:r>
      <w:r>
        <w:t xml:space="preserve">. </w:t>
      </w:r>
      <w:r w:rsidR="002E49C7">
        <w:t>Dans le cas contraire, s</w:t>
      </w:r>
      <w:r>
        <w:t>’il n’y a pas de déplacement de charge, les autres informations du présent paragraphe ne doivent pas être complétées.</w:t>
      </w:r>
    </w:p>
    <w:p w14:paraId="6E097903" w14:textId="77777777" w:rsidR="00455946" w:rsidRDefault="00455946" w:rsidP="00474B55">
      <w:pPr>
        <w:pStyle w:val="Paragraphedeliste"/>
        <w:numPr>
          <w:ilvl w:val="0"/>
          <w:numId w:val="11"/>
        </w:numPr>
        <w:ind w:left="723"/>
      </w:pPr>
      <w:r>
        <w:t xml:space="preserve">Période de récupération de l’énergie : </w:t>
      </w:r>
      <w:r w:rsidR="00AD06C4">
        <w:t xml:space="preserve">l’information </w:t>
      </w:r>
      <w:r>
        <w:t xml:space="preserve">demandée </w:t>
      </w:r>
      <w:r w:rsidR="002238BF">
        <w:t xml:space="preserve">ici </w:t>
      </w:r>
      <w:r>
        <w:t xml:space="preserve">est de savoir après combien de temps l’énergie non </w:t>
      </w:r>
      <w:r w:rsidR="007526DB">
        <w:t xml:space="preserve">prélevée </w:t>
      </w:r>
      <w:r>
        <w:t>devra être récupérée.</w:t>
      </w:r>
    </w:p>
    <w:p w14:paraId="7C746AE9" w14:textId="77777777" w:rsidR="00455946" w:rsidRDefault="00455946" w:rsidP="00474B55">
      <w:pPr>
        <w:pStyle w:val="Paragraphedeliste"/>
        <w:ind w:left="723"/>
      </w:pPr>
      <w:r>
        <w:t>Par exemple, l’énergie coupée est récupérée à t+4h après l’activation de la flexibilité.</w:t>
      </w:r>
    </w:p>
    <w:p w14:paraId="1936728B" w14:textId="77777777" w:rsidR="00455946" w:rsidRDefault="00455946" w:rsidP="00474B55">
      <w:pPr>
        <w:pStyle w:val="Paragraphedeliste"/>
        <w:numPr>
          <w:ilvl w:val="0"/>
          <w:numId w:val="11"/>
        </w:numPr>
        <w:ind w:left="723"/>
      </w:pPr>
      <w:r>
        <w:t xml:space="preserve">Durée </w:t>
      </w:r>
      <w:r w:rsidR="004E5BE8">
        <w:t xml:space="preserve">et amplitude </w:t>
      </w:r>
      <w:r>
        <w:t xml:space="preserve">de la </w:t>
      </w:r>
      <w:r w:rsidR="004F0246">
        <w:t>récupération</w:t>
      </w:r>
      <w:r>
        <w:t xml:space="preserve"> de l’énergie : </w:t>
      </w:r>
      <w:r w:rsidR="00E26BB8">
        <w:t xml:space="preserve">Puissance maximale et </w:t>
      </w:r>
      <w:r w:rsidR="002E49C7">
        <w:t>durée maximale du déplacement de charge</w:t>
      </w:r>
      <w:r w:rsidR="009A2123">
        <w:t>.</w:t>
      </w:r>
    </w:p>
    <w:p w14:paraId="58D508C0" w14:textId="77777777" w:rsidR="00850772" w:rsidRDefault="00850772" w:rsidP="00474B55">
      <w:pPr>
        <w:ind w:left="360"/>
        <w:rPr>
          <w:lang w:val="fr-BE"/>
        </w:rPr>
      </w:pPr>
    </w:p>
    <w:p w14:paraId="763ABB2D" w14:textId="7DB452F1" w:rsidR="00850772" w:rsidRPr="00850772" w:rsidRDefault="00850772" w:rsidP="007729F6">
      <w:pPr>
        <w:ind w:left="360"/>
        <w:jc w:val="both"/>
        <w:rPr>
          <w:lang w:val="fr-BE"/>
        </w:rPr>
      </w:pPr>
      <w:r w:rsidRPr="00850772">
        <w:rPr>
          <w:lang w:val="fr-BE"/>
        </w:rPr>
        <w:t>Dans les plus brefs délais et en tou</w:t>
      </w:r>
      <w:r w:rsidR="00486E5B">
        <w:rPr>
          <w:lang w:val="fr-BE"/>
        </w:rPr>
        <w:t>t</w:t>
      </w:r>
      <w:r w:rsidRPr="00850772">
        <w:rPr>
          <w:lang w:val="fr-BE"/>
        </w:rPr>
        <w:t xml:space="preserve"> cas dans les dix jours ouvrables de la réception d’une demande de</w:t>
      </w:r>
      <w:r>
        <w:rPr>
          <w:lang w:val="fr-BE"/>
        </w:rPr>
        <w:t xml:space="preserve"> NFS</w:t>
      </w:r>
      <w:r w:rsidRPr="00850772">
        <w:rPr>
          <w:lang w:val="fr-BE"/>
        </w:rPr>
        <w:t xml:space="preserve">, le </w:t>
      </w:r>
      <w:r w:rsidRPr="00930E4D">
        <w:rPr>
          <w:lang w:val="fr-BE"/>
        </w:rPr>
        <w:t>gestionnaire du réseau de distribution vérifie si celle-ci est complète. Si elle est incomplète, il signale au demandeur les informations complémentaires qu’il doit fournir</w:t>
      </w:r>
      <w:r w:rsidRPr="00850772">
        <w:rPr>
          <w:lang w:val="fr-BE"/>
        </w:rPr>
        <w:t>.</w:t>
      </w:r>
      <w:r>
        <w:rPr>
          <w:lang w:val="fr-BE"/>
        </w:rPr>
        <w:t xml:space="preserve"> </w:t>
      </w:r>
      <w:r w:rsidR="00486E5B">
        <w:rPr>
          <w:lang w:val="fr-BE"/>
        </w:rPr>
        <w:t>Si le GRD ne réagit pas dans le délai précité, la</w:t>
      </w:r>
      <w:r>
        <w:rPr>
          <w:lang w:val="fr-BE"/>
        </w:rPr>
        <w:t xml:space="preserve"> demande de NFS est réputée complète.</w:t>
      </w:r>
    </w:p>
    <w:p w14:paraId="29B60D75" w14:textId="51018B38" w:rsidR="006A3AB9" w:rsidRPr="006032A6" w:rsidRDefault="00DB23E0" w:rsidP="00402922">
      <w:pPr>
        <w:pStyle w:val="Titre1"/>
        <w:numPr>
          <w:ilvl w:val="0"/>
          <w:numId w:val="19"/>
        </w:numPr>
      </w:pPr>
      <w:bookmarkStart w:id="85" w:name="_Toc438464633"/>
      <w:bookmarkStart w:id="86" w:name="_Toc438465088"/>
      <w:bookmarkStart w:id="87" w:name="_Toc438464634"/>
      <w:bookmarkStart w:id="88" w:name="_Toc438465089"/>
      <w:bookmarkStart w:id="89" w:name="_Toc322381817"/>
      <w:bookmarkStart w:id="90" w:name="_Toc322381818"/>
      <w:bookmarkStart w:id="91" w:name="_Toc322381819"/>
      <w:bookmarkStart w:id="92" w:name="_Toc390691668"/>
      <w:bookmarkStart w:id="93" w:name="_Toc414345518"/>
      <w:bookmarkStart w:id="94" w:name="_Toc65745137"/>
      <w:bookmarkEnd w:id="85"/>
      <w:bookmarkEnd w:id="86"/>
      <w:bookmarkEnd w:id="87"/>
      <w:bookmarkEnd w:id="88"/>
      <w:bookmarkEnd w:id="89"/>
      <w:bookmarkEnd w:id="90"/>
      <w:bookmarkEnd w:id="91"/>
      <w:proofErr w:type="spellStart"/>
      <w:r w:rsidRPr="006032A6">
        <w:t>E</w:t>
      </w:r>
      <w:r w:rsidR="000C0D10" w:rsidRPr="006032A6">
        <w:t>tape</w:t>
      </w:r>
      <w:proofErr w:type="spellEnd"/>
      <w:r w:rsidR="000C0D10" w:rsidRPr="006032A6">
        <w:t xml:space="preserve"> </w:t>
      </w:r>
      <w:r w:rsidR="003D3729">
        <w:t>2</w:t>
      </w:r>
      <w:r w:rsidR="00FF5482">
        <w:t xml:space="preserve"> </w:t>
      </w:r>
      <w:r w:rsidR="000C0D10" w:rsidRPr="006032A6">
        <w:t xml:space="preserve">: </w:t>
      </w:r>
      <w:r w:rsidR="00FC4967">
        <w:t>E</w:t>
      </w:r>
      <w:r w:rsidR="000C0D10" w:rsidRPr="006032A6">
        <w:t>tude NFS</w:t>
      </w:r>
      <w:bookmarkEnd w:id="92"/>
      <w:bookmarkEnd w:id="93"/>
      <w:bookmarkEnd w:id="94"/>
    </w:p>
    <w:p w14:paraId="482F1BA4" w14:textId="77777777" w:rsidR="00491EF2" w:rsidRPr="007B7467" w:rsidRDefault="00491EF2" w:rsidP="00690389">
      <w:pPr>
        <w:pStyle w:val="Titre2"/>
      </w:pPr>
      <w:bookmarkStart w:id="95" w:name="_Toc441147755"/>
      <w:bookmarkStart w:id="96" w:name="_Toc65745138"/>
      <w:r w:rsidRPr="007B7467">
        <w:t>Modalités pratiques</w:t>
      </w:r>
      <w:bookmarkEnd w:id="95"/>
      <w:bookmarkEnd w:id="96"/>
    </w:p>
    <w:p w14:paraId="432EC521" w14:textId="7FB9C26D" w:rsidR="00067D8A" w:rsidRPr="00E94307" w:rsidRDefault="00491EF2" w:rsidP="00C62374">
      <w:pPr>
        <w:keepNext/>
        <w:keepLines/>
        <w:widowControl w:val="0"/>
        <w:ind w:left="426"/>
        <w:contextualSpacing/>
        <w:jc w:val="both"/>
        <w:rPr>
          <w:rFonts w:cs="Arial"/>
          <w:bCs/>
          <w:szCs w:val="20"/>
          <w:lang w:val="fr-FR"/>
        </w:rPr>
      </w:pPr>
      <w:r w:rsidRPr="00E94307">
        <w:rPr>
          <w:rFonts w:cs="Arial"/>
          <w:bCs/>
          <w:szCs w:val="20"/>
          <w:lang w:val="fr-FR"/>
        </w:rPr>
        <w:t xml:space="preserve">Lors de chaque étude NFS, le gestionnaire de réseau </w:t>
      </w:r>
      <w:r w:rsidR="001B570E" w:rsidRPr="00E94307">
        <w:rPr>
          <w:rFonts w:cs="Arial"/>
          <w:bCs/>
          <w:szCs w:val="20"/>
          <w:lang w:val="fr-FR"/>
        </w:rPr>
        <w:t xml:space="preserve">étudie les zones </w:t>
      </w:r>
      <w:r w:rsidR="002828B4">
        <w:rPr>
          <w:rFonts w:cs="Arial"/>
          <w:bCs/>
          <w:szCs w:val="20"/>
          <w:lang w:val="fr-FR"/>
        </w:rPr>
        <w:t xml:space="preserve">concernées </w:t>
      </w:r>
      <w:r w:rsidR="001B570E" w:rsidRPr="00E94307">
        <w:rPr>
          <w:rFonts w:cs="Arial"/>
          <w:bCs/>
          <w:szCs w:val="20"/>
          <w:lang w:val="fr-FR"/>
        </w:rPr>
        <w:t xml:space="preserve">de son réseau avec des points d’accès à la flexibilité. Dans chaque zone concernée, il </w:t>
      </w:r>
      <w:r w:rsidRPr="00E94307">
        <w:rPr>
          <w:rFonts w:cs="Arial"/>
          <w:bCs/>
          <w:szCs w:val="20"/>
          <w:lang w:val="fr-FR"/>
        </w:rPr>
        <w:t xml:space="preserve">tient compte </w:t>
      </w:r>
      <w:r w:rsidR="00337721" w:rsidRPr="00E94307">
        <w:rPr>
          <w:rFonts w:cs="Arial"/>
          <w:bCs/>
          <w:szCs w:val="20"/>
          <w:lang w:val="fr-FR"/>
        </w:rPr>
        <w:t>de toutes les qualifications existantes</w:t>
      </w:r>
      <w:r w:rsidR="006032A6" w:rsidRPr="00E94307">
        <w:rPr>
          <w:rFonts w:cs="Arial"/>
          <w:bCs/>
          <w:szCs w:val="20"/>
          <w:lang w:val="fr-FR"/>
        </w:rPr>
        <w:t xml:space="preserve">, </w:t>
      </w:r>
      <w:r w:rsidRPr="00E94307">
        <w:rPr>
          <w:rFonts w:cs="Arial"/>
          <w:bCs/>
          <w:szCs w:val="20"/>
          <w:lang w:val="fr-FR"/>
        </w:rPr>
        <w:t>des éventuelles nouvelles demandes de qualification recevables (</w:t>
      </w:r>
      <w:proofErr w:type="spellStart"/>
      <w:r w:rsidRPr="00E94307">
        <w:rPr>
          <w:rFonts w:cs="Arial"/>
          <w:bCs/>
          <w:szCs w:val="20"/>
          <w:lang w:val="fr-FR"/>
        </w:rPr>
        <w:t>cfr</w:t>
      </w:r>
      <w:proofErr w:type="spellEnd"/>
      <w:r w:rsidRPr="00E94307">
        <w:rPr>
          <w:rFonts w:cs="Arial"/>
          <w:bCs/>
          <w:szCs w:val="20"/>
          <w:lang w:val="fr-FR"/>
        </w:rPr>
        <w:t>. §3 ci-avant)</w:t>
      </w:r>
      <w:r w:rsidR="00067D8A" w:rsidRPr="00E94307">
        <w:rPr>
          <w:rFonts w:cs="Arial"/>
          <w:bCs/>
          <w:szCs w:val="20"/>
          <w:lang w:val="fr-FR"/>
        </w:rPr>
        <w:t>, des nouveaux raccordements sur le réseau</w:t>
      </w:r>
      <w:r w:rsidR="00B85BBD" w:rsidRPr="00E94307">
        <w:rPr>
          <w:rFonts w:cs="Arial"/>
          <w:bCs/>
          <w:szCs w:val="20"/>
          <w:lang w:val="fr-FR"/>
        </w:rPr>
        <w:t xml:space="preserve"> </w:t>
      </w:r>
      <w:r w:rsidR="006032A6" w:rsidRPr="00E94307">
        <w:rPr>
          <w:rFonts w:cs="Arial"/>
          <w:bCs/>
          <w:szCs w:val="20"/>
          <w:lang w:val="fr-FR"/>
        </w:rPr>
        <w:t>et des nouvelles configurations du résea</w:t>
      </w:r>
      <w:r w:rsidR="002238BF" w:rsidRPr="00E94307">
        <w:rPr>
          <w:rFonts w:cs="Arial"/>
          <w:bCs/>
          <w:szCs w:val="20"/>
          <w:lang w:val="fr-FR"/>
        </w:rPr>
        <w:t>u</w:t>
      </w:r>
      <w:r w:rsidR="006032A6" w:rsidRPr="00E94307">
        <w:rPr>
          <w:rFonts w:cs="Arial"/>
          <w:bCs/>
          <w:szCs w:val="20"/>
          <w:lang w:val="fr-FR"/>
        </w:rPr>
        <w:t xml:space="preserve"> (par exemple suite à des investissements)</w:t>
      </w:r>
      <w:r w:rsidRPr="00E94307">
        <w:rPr>
          <w:rFonts w:cs="Arial"/>
          <w:bCs/>
          <w:szCs w:val="20"/>
          <w:lang w:val="fr-FR"/>
        </w:rPr>
        <w:t xml:space="preserve">. </w:t>
      </w:r>
    </w:p>
    <w:p w14:paraId="744D6704" w14:textId="77777777" w:rsidR="00850772" w:rsidRDefault="00850772" w:rsidP="00491EF2">
      <w:pPr>
        <w:keepNext/>
        <w:keepLines/>
        <w:widowControl w:val="0"/>
        <w:contextualSpacing/>
        <w:jc w:val="both"/>
        <w:rPr>
          <w:rFonts w:cs="Arial"/>
          <w:bCs/>
          <w:szCs w:val="20"/>
          <w:lang w:val="fr-FR"/>
        </w:rPr>
      </w:pPr>
    </w:p>
    <w:p w14:paraId="3FAF349B" w14:textId="77777777" w:rsidR="00850772" w:rsidRPr="002715D4" w:rsidRDefault="00881B9D" w:rsidP="006B7712">
      <w:pPr>
        <w:keepNext/>
        <w:keepLines/>
        <w:widowControl w:val="0"/>
        <w:ind w:left="426"/>
        <w:contextualSpacing/>
        <w:jc w:val="both"/>
        <w:rPr>
          <w:rFonts w:eastAsia="Times New Roman"/>
          <w:bCs/>
          <w:iCs/>
          <w:szCs w:val="24"/>
          <w:lang w:val="fr-BE" w:eastAsia="nl-NL"/>
        </w:rPr>
      </w:pPr>
      <w:r>
        <w:rPr>
          <w:rFonts w:eastAsia="Times New Roman"/>
          <w:bCs/>
          <w:iCs/>
          <w:szCs w:val="24"/>
          <w:lang w:val="fr-BE" w:eastAsia="nl-NL"/>
        </w:rPr>
        <w:t>L’étude NFS est réalisée dès que la demande est jugée complète.</w:t>
      </w:r>
    </w:p>
    <w:p w14:paraId="7A55A1BD" w14:textId="77777777" w:rsidR="002715D4" w:rsidRPr="001B732C" w:rsidRDefault="00264943" w:rsidP="00690389">
      <w:pPr>
        <w:pStyle w:val="Titre2"/>
        <w:rPr>
          <w:lang w:val="fr-BE"/>
        </w:rPr>
      </w:pPr>
      <w:bookmarkStart w:id="97" w:name="_Toc445802739"/>
      <w:bookmarkStart w:id="98" w:name="_Toc445802752"/>
      <w:bookmarkStart w:id="99" w:name="_Toc445803222"/>
      <w:bookmarkStart w:id="100" w:name="_Toc441147756"/>
      <w:bookmarkStart w:id="101" w:name="_Toc65745139"/>
      <w:bookmarkEnd w:id="97"/>
      <w:bookmarkEnd w:id="98"/>
      <w:bookmarkEnd w:id="99"/>
      <w:r w:rsidRPr="001B732C">
        <w:rPr>
          <w:lang w:val="fr-BE"/>
        </w:rPr>
        <w:t>Description qualitative de l’étude NFS et des résultats possibles</w:t>
      </w:r>
      <w:bookmarkEnd w:id="100"/>
      <w:bookmarkEnd w:id="101"/>
    </w:p>
    <w:p w14:paraId="422AC0F4" w14:textId="0A4AB9B1" w:rsidR="00C5671F" w:rsidRDefault="00C5671F" w:rsidP="006B7712">
      <w:pPr>
        <w:ind w:left="426"/>
        <w:jc w:val="both"/>
        <w:rPr>
          <w:lang w:val="fr-BE"/>
        </w:rPr>
      </w:pPr>
      <w:r>
        <w:rPr>
          <w:lang w:val="fr-BE"/>
        </w:rPr>
        <w:t>L</w:t>
      </w:r>
      <w:r w:rsidR="009F3BC7">
        <w:rPr>
          <w:lang w:val="fr-BE"/>
        </w:rPr>
        <w:t>a</w:t>
      </w:r>
      <w:r w:rsidRPr="002C0543">
        <w:rPr>
          <w:lang w:val="fr-BE"/>
        </w:rPr>
        <w:t xml:space="preserve"> flexibilité peut </w:t>
      </w:r>
      <w:r>
        <w:rPr>
          <w:lang w:val="fr-BE"/>
        </w:rPr>
        <w:t xml:space="preserve">induire </w:t>
      </w:r>
      <w:r w:rsidR="00F36EB4">
        <w:rPr>
          <w:lang w:val="fr-BE"/>
        </w:rPr>
        <w:t xml:space="preserve">localement </w:t>
      </w:r>
      <w:r w:rsidRPr="002C0543">
        <w:rPr>
          <w:lang w:val="fr-BE"/>
        </w:rPr>
        <w:t>un comportement de simultanéité des URD</w:t>
      </w:r>
      <w:r w:rsidR="00491EF2">
        <w:rPr>
          <w:lang w:val="fr-BE"/>
        </w:rPr>
        <w:t>, comportement qui</w:t>
      </w:r>
      <w:r w:rsidRPr="002C0543">
        <w:rPr>
          <w:lang w:val="fr-BE"/>
        </w:rPr>
        <w:t xml:space="preserve"> </w:t>
      </w:r>
      <w:proofErr w:type="spellStart"/>
      <w:r w:rsidRPr="002C0543">
        <w:rPr>
          <w:lang w:val="fr-BE"/>
        </w:rPr>
        <w:t>différe</w:t>
      </w:r>
      <w:proofErr w:type="spellEnd"/>
      <w:r w:rsidRPr="002C0543">
        <w:rPr>
          <w:lang w:val="fr-BE"/>
        </w:rPr>
        <w:t xml:space="preserve"> </w:t>
      </w:r>
      <w:r w:rsidR="00491EF2">
        <w:rPr>
          <w:lang w:val="fr-BE"/>
        </w:rPr>
        <w:t xml:space="preserve">des observations et mesures du </w:t>
      </w:r>
      <w:r w:rsidRPr="002C0543">
        <w:rPr>
          <w:lang w:val="fr-BE"/>
        </w:rPr>
        <w:t>passé</w:t>
      </w:r>
      <w:r w:rsidR="000C0D10">
        <w:rPr>
          <w:lang w:val="fr-BE"/>
        </w:rPr>
        <w:t xml:space="preserve"> et de ce qui a été pris en compte dans les études de dimensionnement du réseau</w:t>
      </w:r>
      <w:r w:rsidRPr="002C0543">
        <w:rPr>
          <w:lang w:val="fr-BE"/>
        </w:rPr>
        <w:t>. Ainsi, ni l’analyse des données statistiques, ni les modèles de consommation utilisés pour le dimensionnement du réseau ne peuvent s</w:t>
      </w:r>
      <w:r w:rsidR="00F36EB4">
        <w:rPr>
          <w:lang w:val="fr-BE"/>
        </w:rPr>
        <w:t xml:space="preserve">uffire pour vérifier le </w:t>
      </w:r>
      <w:r w:rsidR="000E3BFD" w:rsidRPr="002C0543">
        <w:rPr>
          <w:lang w:val="fr-BE"/>
        </w:rPr>
        <w:t>respe</w:t>
      </w:r>
      <w:r w:rsidR="000E3BFD">
        <w:rPr>
          <w:lang w:val="fr-BE"/>
        </w:rPr>
        <w:t>c</w:t>
      </w:r>
      <w:r w:rsidR="000E3BFD" w:rsidRPr="002C0543">
        <w:rPr>
          <w:lang w:val="fr-BE"/>
        </w:rPr>
        <w:t xml:space="preserve">t </w:t>
      </w:r>
      <w:r w:rsidRPr="002C0543">
        <w:rPr>
          <w:lang w:val="fr-BE"/>
        </w:rPr>
        <w:t xml:space="preserve">des </w:t>
      </w:r>
      <w:r w:rsidR="000D7720">
        <w:rPr>
          <w:lang w:val="fr-BE"/>
        </w:rPr>
        <w:t>l</w:t>
      </w:r>
      <w:r w:rsidRPr="002C0543">
        <w:rPr>
          <w:lang w:val="fr-BE"/>
        </w:rPr>
        <w:t>imites de sécurité opérationnelle</w:t>
      </w:r>
      <w:r w:rsidR="00F47DEA">
        <w:rPr>
          <w:lang w:val="fr-BE"/>
        </w:rPr>
        <w:t>s</w:t>
      </w:r>
      <w:r w:rsidRPr="002C0543">
        <w:rPr>
          <w:lang w:val="fr-BE"/>
        </w:rPr>
        <w:t>.</w:t>
      </w:r>
      <w:r>
        <w:rPr>
          <w:lang w:val="fr-BE"/>
        </w:rPr>
        <w:t xml:space="preserve"> Le </w:t>
      </w:r>
      <w:r w:rsidR="00897ED8">
        <w:rPr>
          <w:lang w:val="fr-BE"/>
        </w:rPr>
        <w:t xml:space="preserve">gestionnaire de réseau </w:t>
      </w:r>
      <w:r>
        <w:rPr>
          <w:lang w:val="fr-BE"/>
        </w:rPr>
        <w:t>a donc le devoir d’analyser l’impact de la flexibilité en prenant en considération tant le comportement individuel de</w:t>
      </w:r>
      <w:r w:rsidR="000E3BFD">
        <w:rPr>
          <w:lang w:val="fr-BE"/>
        </w:rPr>
        <w:t xml:space="preserve"> chaque</w:t>
      </w:r>
      <w:r>
        <w:rPr>
          <w:lang w:val="fr-BE"/>
        </w:rPr>
        <w:t xml:space="preserve"> </w:t>
      </w:r>
      <w:r w:rsidR="00D32E46">
        <w:rPr>
          <w:lang w:val="fr-BE"/>
        </w:rPr>
        <w:t>point de raccordement</w:t>
      </w:r>
      <w:r>
        <w:rPr>
          <w:lang w:val="fr-BE"/>
        </w:rPr>
        <w:t xml:space="preserve"> flexible que celui de l’ensemble des </w:t>
      </w:r>
      <w:r w:rsidR="00D32E46">
        <w:rPr>
          <w:lang w:val="fr-BE"/>
        </w:rPr>
        <w:t>points de raccordement</w:t>
      </w:r>
      <w:r>
        <w:rPr>
          <w:lang w:val="fr-BE"/>
        </w:rPr>
        <w:t xml:space="preserve"> flexible</w:t>
      </w:r>
      <w:r w:rsidR="000E3BFD">
        <w:rPr>
          <w:lang w:val="fr-BE"/>
        </w:rPr>
        <w:t>s</w:t>
      </w:r>
      <w:r>
        <w:rPr>
          <w:lang w:val="fr-BE"/>
        </w:rPr>
        <w:t xml:space="preserve"> sur </w:t>
      </w:r>
      <w:r w:rsidR="000E3BFD">
        <w:rPr>
          <w:lang w:val="fr-BE"/>
        </w:rPr>
        <w:t xml:space="preserve">son </w:t>
      </w:r>
      <w:r>
        <w:rPr>
          <w:lang w:val="fr-BE"/>
        </w:rPr>
        <w:t>réseau</w:t>
      </w:r>
      <w:r w:rsidR="000C0D10">
        <w:rPr>
          <w:lang w:val="fr-BE"/>
        </w:rPr>
        <w:t> : c’est le but de l’étude NFS, qui est réalisée zone par zone.</w:t>
      </w:r>
    </w:p>
    <w:p w14:paraId="7D391CB0" w14:textId="77777777" w:rsidR="00384BE0" w:rsidRDefault="00384BE0" w:rsidP="006B7712">
      <w:pPr>
        <w:ind w:left="426"/>
        <w:jc w:val="both"/>
        <w:rPr>
          <w:rFonts w:cs="Arial"/>
          <w:bCs/>
          <w:szCs w:val="20"/>
          <w:lang w:val="fr-FR"/>
        </w:rPr>
      </w:pPr>
    </w:p>
    <w:p w14:paraId="130E9A28" w14:textId="4876FD71" w:rsidR="00F913F2" w:rsidRDefault="00F913F2" w:rsidP="006B7712">
      <w:pPr>
        <w:ind w:left="426"/>
        <w:jc w:val="both"/>
        <w:rPr>
          <w:rFonts w:cs="Arial"/>
          <w:bCs/>
          <w:szCs w:val="20"/>
          <w:lang w:val="fr-FR"/>
        </w:rPr>
      </w:pPr>
      <w:r>
        <w:rPr>
          <w:rFonts w:cs="Arial"/>
          <w:bCs/>
          <w:szCs w:val="20"/>
          <w:lang w:val="fr-FR"/>
        </w:rPr>
        <w:t>Le résultat de l’étude</w:t>
      </w:r>
      <w:r w:rsidR="00897ED8">
        <w:rPr>
          <w:rFonts w:cs="Arial"/>
          <w:bCs/>
          <w:szCs w:val="20"/>
          <w:lang w:val="fr-FR"/>
        </w:rPr>
        <w:t xml:space="preserve"> NFS</w:t>
      </w:r>
      <w:r>
        <w:rPr>
          <w:rFonts w:cs="Arial"/>
          <w:bCs/>
          <w:szCs w:val="20"/>
          <w:lang w:val="fr-FR"/>
        </w:rPr>
        <w:t xml:space="preserve"> permet d’attribuer une couleur à la zone. En l’absence de risques sur la sécurité opérationnelle, </w:t>
      </w:r>
      <w:r w:rsidR="00897ED8">
        <w:rPr>
          <w:rFonts w:cs="Arial"/>
          <w:bCs/>
          <w:szCs w:val="20"/>
          <w:lang w:val="fr-FR"/>
        </w:rPr>
        <w:t>la couleur</w:t>
      </w:r>
      <w:r>
        <w:rPr>
          <w:rFonts w:cs="Arial"/>
          <w:bCs/>
          <w:szCs w:val="20"/>
          <w:lang w:val="fr-FR"/>
        </w:rPr>
        <w:t xml:space="preserve"> verte</w:t>
      </w:r>
      <w:r w:rsidR="00897ED8">
        <w:rPr>
          <w:rFonts w:cs="Arial"/>
          <w:bCs/>
          <w:szCs w:val="20"/>
          <w:lang w:val="fr-FR"/>
        </w:rPr>
        <w:t xml:space="preserve"> est attribuée à la zone étudiée</w:t>
      </w:r>
      <w:r>
        <w:rPr>
          <w:rFonts w:cs="Arial"/>
          <w:bCs/>
          <w:szCs w:val="20"/>
          <w:lang w:val="fr-FR"/>
        </w:rPr>
        <w:t xml:space="preserve">. </w:t>
      </w:r>
      <w:r w:rsidR="00702395">
        <w:rPr>
          <w:rFonts w:cs="Arial"/>
          <w:bCs/>
          <w:szCs w:val="20"/>
          <w:lang w:val="fr-FR"/>
        </w:rPr>
        <w:t>Dans le cas contraire</w:t>
      </w:r>
      <w:r>
        <w:rPr>
          <w:rFonts w:cs="Arial"/>
          <w:bCs/>
          <w:szCs w:val="20"/>
          <w:lang w:val="fr-FR"/>
        </w:rPr>
        <w:t xml:space="preserve">, </w:t>
      </w:r>
      <w:r w:rsidR="00897ED8">
        <w:rPr>
          <w:rFonts w:cs="Arial"/>
          <w:bCs/>
          <w:szCs w:val="20"/>
          <w:lang w:val="fr-FR"/>
        </w:rPr>
        <w:t>la couleur rouge est attribuée à</w:t>
      </w:r>
      <w:r>
        <w:rPr>
          <w:rFonts w:cs="Arial"/>
          <w:bCs/>
          <w:szCs w:val="20"/>
          <w:lang w:val="fr-FR"/>
        </w:rPr>
        <w:t xml:space="preserve"> la zone</w:t>
      </w:r>
      <w:r w:rsidR="00511078">
        <w:rPr>
          <w:rFonts w:cs="Arial"/>
          <w:bCs/>
          <w:szCs w:val="20"/>
          <w:lang w:val="fr-FR"/>
        </w:rPr>
        <w:t>, qui correspond</w:t>
      </w:r>
      <w:r w:rsidR="00511078" w:rsidRPr="00A80647">
        <w:rPr>
          <w:rFonts w:cs="Arial"/>
          <w:szCs w:val="20"/>
          <w:lang w:val="fr-BE"/>
        </w:rPr>
        <w:t xml:space="preserve"> au réseau de distribution électriquement en aval </w:t>
      </w:r>
      <w:r w:rsidR="00511078" w:rsidRPr="00A80647">
        <w:rPr>
          <w:rFonts w:cs="Arial"/>
          <w:bCs/>
          <w:szCs w:val="20"/>
          <w:lang w:val="fr-BE"/>
        </w:rPr>
        <w:t>de l’élément de réseau où une congestion potentielle est identifiée lors de l’étude NFS</w:t>
      </w:r>
      <w:r>
        <w:rPr>
          <w:rFonts w:cs="Arial"/>
          <w:bCs/>
          <w:szCs w:val="20"/>
          <w:lang w:val="fr-FR"/>
        </w:rPr>
        <w:t>.</w:t>
      </w:r>
      <w:r w:rsidR="00897ED8">
        <w:rPr>
          <w:rFonts w:cs="Arial"/>
          <w:bCs/>
          <w:szCs w:val="20"/>
          <w:lang w:val="fr-FR"/>
        </w:rPr>
        <w:t xml:space="preserve"> </w:t>
      </w:r>
    </w:p>
    <w:p w14:paraId="323C9AB8" w14:textId="77777777" w:rsidR="00F913F2" w:rsidRDefault="00F913F2" w:rsidP="006B7712">
      <w:pPr>
        <w:ind w:left="426"/>
        <w:jc w:val="both"/>
        <w:rPr>
          <w:rFonts w:cs="Arial"/>
          <w:bCs/>
          <w:szCs w:val="20"/>
          <w:lang w:val="fr-FR"/>
        </w:rPr>
      </w:pPr>
    </w:p>
    <w:p w14:paraId="5A08426F" w14:textId="77777777" w:rsidR="00384BE0" w:rsidRDefault="00897ED8" w:rsidP="006B7712">
      <w:pPr>
        <w:ind w:left="426"/>
        <w:jc w:val="both"/>
        <w:rPr>
          <w:rFonts w:cs="Arial"/>
          <w:bCs/>
          <w:szCs w:val="20"/>
          <w:lang w:val="fr-FR"/>
        </w:rPr>
      </w:pPr>
      <w:r>
        <w:rPr>
          <w:rFonts w:cs="Arial"/>
          <w:bCs/>
          <w:szCs w:val="20"/>
          <w:lang w:val="fr-FR"/>
        </w:rPr>
        <w:t xml:space="preserve">La couleur attribuée à la zone tient compte de </w:t>
      </w:r>
      <w:r w:rsidR="009436DB">
        <w:rPr>
          <w:rFonts w:cs="Arial"/>
          <w:bCs/>
          <w:szCs w:val="20"/>
          <w:lang w:val="fr-FR"/>
        </w:rPr>
        <w:t>l’</w:t>
      </w:r>
      <w:r>
        <w:rPr>
          <w:rFonts w:cs="Arial"/>
          <w:bCs/>
          <w:szCs w:val="20"/>
          <w:lang w:val="fr-FR"/>
        </w:rPr>
        <w:t>étude d’</w:t>
      </w:r>
      <w:r w:rsidR="009436DB">
        <w:rPr>
          <w:rFonts w:cs="Arial"/>
          <w:bCs/>
          <w:szCs w:val="20"/>
          <w:lang w:val="fr-FR"/>
        </w:rPr>
        <w:t xml:space="preserve">impact de la flexibilité sur </w:t>
      </w:r>
      <w:r>
        <w:rPr>
          <w:rFonts w:cs="Arial"/>
          <w:bCs/>
          <w:szCs w:val="20"/>
          <w:lang w:val="fr-FR"/>
        </w:rPr>
        <w:t>le</w:t>
      </w:r>
      <w:r w:rsidR="009436DB">
        <w:rPr>
          <w:rFonts w:cs="Arial"/>
          <w:bCs/>
          <w:szCs w:val="20"/>
          <w:lang w:val="fr-FR"/>
        </w:rPr>
        <w:t xml:space="preserve"> réseau</w:t>
      </w:r>
      <w:r>
        <w:rPr>
          <w:rFonts w:cs="Arial"/>
          <w:bCs/>
          <w:szCs w:val="20"/>
          <w:lang w:val="fr-FR"/>
        </w:rPr>
        <w:t xml:space="preserve"> de distribution</w:t>
      </w:r>
      <w:r w:rsidR="002715D4">
        <w:rPr>
          <w:rFonts w:cs="Arial"/>
          <w:bCs/>
          <w:szCs w:val="20"/>
          <w:lang w:val="fr-FR"/>
        </w:rPr>
        <w:t xml:space="preserve"> ainsi que sur le réseau de transport</w:t>
      </w:r>
      <w:r w:rsidR="009436DB">
        <w:rPr>
          <w:rFonts w:cs="Arial"/>
          <w:bCs/>
          <w:szCs w:val="20"/>
          <w:lang w:val="fr-FR"/>
        </w:rPr>
        <w:t xml:space="preserve">. </w:t>
      </w:r>
    </w:p>
    <w:p w14:paraId="5E2D267F" w14:textId="77777777" w:rsidR="00A265FE" w:rsidRDefault="00A265FE" w:rsidP="003E02E4">
      <w:pPr>
        <w:jc w:val="both"/>
        <w:rPr>
          <w:rFonts w:cs="Arial"/>
          <w:bCs/>
          <w:szCs w:val="20"/>
          <w:lang w:val="fr-FR"/>
        </w:rPr>
      </w:pPr>
    </w:p>
    <w:p w14:paraId="052AB094" w14:textId="77777777" w:rsidR="00384BE0" w:rsidRDefault="00384BE0" w:rsidP="003E02E4">
      <w:pPr>
        <w:jc w:val="both"/>
        <w:rPr>
          <w:rFonts w:cs="Arial"/>
          <w:bCs/>
          <w:szCs w:val="20"/>
          <w:lang w:val="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3"/>
        <w:gridCol w:w="6461"/>
      </w:tblGrid>
      <w:tr w:rsidR="00384BE0" w:rsidRPr="00384BE0" w14:paraId="26424AC1" w14:textId="77777777" w:rsidTr="009E2D8D">
        <w:trPr>
          <w:trHeight w:val="621"/>
        </w:trPr>
        <w:tc>
          <w:tcPr>
            <w:tcW w:w="3003" w:type="dxa"/>
            <w:shd w:val="clear" w:color="auto" w:fill="auto"/>
            <w:vAlign w:val="center"/>
          </w:tcPr>
          <w:p w14:paraId="51C4DA75" w14:textId="77777777" w:rsidR="00384BE0" w:rsidRDefault="00384BE0" w:rsidP="00384BE0">
            <w:pPr>
              <w:jc w:val="center"/>
              <w:rPr>
                <w:rFonts w:eastAsia="Times New Roman"/>
                <w:b/>
                <w:szCs w:val="20"/>
                <w:lang w:val="fr-BE" w:eastAsia="nl-BE"/>
              </w:rPr>
            </w:pPr>
            <w:r w:rsidRPr="005D2A4E">
              <w:rPr>
                <w:rFonts w:eastAsia="Times New Roman"/>
                <w:b/>
                <w:szCs w:val="20"/>
                <w:lang w:val="fr-BE" w:eastAsia="nl-BE"/>
              </w:rPr>
              <w:t>CODE COULEUR</w:t>
            </w:r>
          </w:p>
          <w:p w14:paraId="07FD994B" w14:textId="77777777" w:rsidR="00384BE0" w:rsidRPr="005D2A4E" w:rsidRDefault="00384BE0" w:rsidP="00384BE0">
            <w:pPr>
              <w:jc w:val="center"/>
              <w:rPr>
                <w:rFonts w:eastAsia="Times New Roman"/>
                <w:b/>
                <w:szCs w:val="20"/>
                <w:lang w:val="fr-BE" w:eastAsia="nl-BE"/>
              </w:rPr>
            </w:pPr>
            <w:r>
              <w:rPr>
                <w:rFonts w:eastAsia="Times New Roman"/>
                <w:b/>
                <w:szCs w:val="20"/>
                <w:lang w:val="fr-BE" w:eastAsia="nl-BE"/>
              </w:rPr>
              <w:t>DE LA ZONE</w:t>
            </w:r>
          </w:p>
        </w:tc>
        <w:tc>
          <w:tcPr>
            <w:tcW w:w="6461" w:type="dxa"/>
            <w:shd w:val="clear" w:color="auto" w:fill="auto"/>
            <w:vAlign w:val="center"/>
          </w:tcPr>
          <w:p w14:paraId="26EE7D1B" w14:textId="77777777" w:rsidR="00384BE0" w:rsidRPr="00384BE0" w:rsidRDefault="00384BE0" w:rsidP="00384BE0">
            <w:pPr>
              <w:jc w:val="center"/>
              <w:rPr>
                <w:rFonts w:eastAsia="Times New Roman"/>
                <w:b/>
                <w:szCs w:val="20"/>
                <w:lang w:val="fr-BE" w:eastAsia="nl-BE"/>
              </w:rPr>
            </w:pPr>
            <w:r>
              <w:rPr>
                <w:rFonts w:eastAsia="Times New Roman"/>
                <w:b/>
                <w:szCs w:val="20"/>
                <w:lang w:val="fr-BE" w:eastAsia="nl-BE"/>
              </w:rPr>
              <w:t>Conséquences pour la zone</w:t>
            </w:r>
          </w:p>
        </w:tc>
      </w:tr>
      <w:tr w:rsidR="00384BE0" w:rsidRPr="009735BD" w14:paraId="523C2A4C" w14:textId="77777777" w:rsidTr="009E2D8D">
        <w:trPr>
          <w:trHeight w:val="585"/>
        </w:trPr>
        <w:tc>
          <w:tcPr>
            <w:tcW w:w="3003" w:type="dxa"/>
            <w:shd w:val="clear" w:color="auto" w:fill="92D050"/>
            <w:vAlign w:val="center"/>
          </w:tcPr>
          <w:p w14:paraId="583A8EB3" w14:textId="6267F50A" w:rsidR="00384BE0" w:rsidRPr="005D2A4E" w:rsidRDefault="00384BE0" w:rsidP="00384BE0">
            <w:pPr>
              <w:jc w:val="center"/>
              <w:rPr>
                <w:rFonts w:eastAsia="Times New Roman"/>
                <w:szCs w:val="20"/>
                <w:lang w:val="fr-BE" w:eastAsia="nl-BE"/>
              </w:rPr>
            </w:pPr>
            <w:r w:rsidRPr="005D2A4E">
              <w:rPr>
                <w:rFonts w:eastAsia="Times New Roman"/>
                <w:szCs w:val="20"/>
                <w:lang w:val="fr-BE" w:eastAsia="nl-BE"/>
              </w:rPr>
              <w:t>VERT</w:t>
            </w:r>
            <w:r w:rsidR="00486E5B">
              <w:rPr>
                <w:rFonts w:eastAsia="Times New Roman"/>
                <w:szCs w:val="20"/>
                <w:lang w:val="fr-BE" w:eastAsia="nl-BE"/>
              </w:rPr>
              <w:t xml:space="preserve"> (DOWN et/ou UP)</w:t>
            </w:r>
          </w:p>
        </w:tc>
        <w:tc>
          <w:tcPr>
            <w:tcW w:w="6461" w:type="dxa"/>
            <w:shd w:val="clear" w:color="auto" w:fill="auto"/>
            <w:vAlign w:val="center"/>
          </w:tcPr>
          <w:p w14:paraId="598158E5" w14:textId="77777777" w:rsidR="00384BE0" w:rsidRPr="005D2A4E" w:rsidRDefault="00384BE0" w:rsidP="00384BE0">
            <w:pPr>
              <w:rPr>
                <w:rFonts w:eastAsia="Times New Roman"/>
                <w:szCs w:val="20"/>
                <w:lang w:val="fr-BE" w:eastAsia="nl-BE"/>
              </w:rPr>
            </w:pPr>
            <w:r>
              <w:rPr>
                <w:rFonts w:eastAsia="Times New Roman"/>
                <w:szCs w:val="20"/>
                <w:lang w:val="fr-BE" w:eastAsia="nl-BE"/>
              </w:rPr>
              <w:t>Absence de risques sur la sécurité opérationnelle</w:t>
            </w:r>
          </w:p>
        </w:tc>
      </w:tr>
      <w:tr w:rsidR="00384BE0" w:rsidRPr="009735BD" w14:paraId="6C3A8E6C" w14:textId="77777777" w:rsidTr="002904D9">
        <w:trPr>
          <w:trHeight w:val="631"/>
        </w:trPr>
        <w:tc>
          <w:tcPr>
            <w:tcW w:w="3003" w:type="dxa"/>
            <w:tcBorders>
              <w:bottom w:val="single" w:sz="4" w:space="0" w:color="auto"/>
            </w:tcBorders>
            <w:shd w:val="clear" w:color="auto" w:fill="FF0000"/>
            <w:vAlign w:val="center"/>
          </w:tcPr>
          <w:p w14:paraId="692F8F08" w14:textId="431A8A47" w:rsidR="00384BE0" w:rsidRPr="005D2A4E" w:rsidRDefault="00384BE0" w:rsidP="00384BE0">
            <w:pPr>
              <w:jc w:val="center"/>
              <w:rPr>
                <w:rFonts w:eastAsia="Times New Roman"/>
                <w:color w:val="FFFFFF"/>
                <w:szCs w:val="20"/>
                <w:lang w:val="fr-BE" w:eastAsia="nl-BE"/>
              </w:rPr>
            </w:pPr>
            <w:r>
              <w:rPr>
                <w:rFonts w:eastAsia="Times New Roman"/>
                <w:color w:val="FFFFFF"/>
                <w:szCs w:val="20"/>
                <w:lang w:val="fr-BE" w:eastAsia="nl-BE"/>
              </w:rPr>
              <w:t>ROUGE</w:t>
            </w:r>
            <w:r w:rsidR="009E2D8D">
              <w:rPr>
                <w:rFonts w:eastAsia="Times New Roman"/>
                <w:color w:val="FFFFFF"/>
                <w:szCs w:val="20"/>
                <w:lang w:val="fr-BE" w:eastAsia="nl-BE"/>
              </w:rPr>
              <w:t xml:space="preserve"> (UP)</w:t>
            </w:r>
          </w:p>
        </w:tc>
        <w:tc>
          <w:tcPr>
            <w:tcW w:w="6461" w:type="dxa"/>
            <w:shd w:val="clear" w:color="auto" w:fill="auto"/>
            <w:vAlign w:val="center"/>
          </w:tcPr>
          <w:p w14:paraId="608F158C" w14:textId="2D90E632" w:rsidR="00384BE0" w:rsidRPr="005D2A4E" w:rsidRDefault="00384BE0" w:rsidP="00384BE0">
            <w:pPr>
              <w:rPr>
                <w:rFonts w:eastAsia="Times New Roman"/>
                <w:szCs w:val="20"/>
                <w:lang w:val="fr-BE" w:eastAsia="nl-BE"/>
              </w:rPr>
            </w:pPr>
            <w:r>
              <w:rPr>
                <w:rFonts w:eastAsia="Times New Roman"/>
                <w:szCs w:val="20"/>
                <w:lang w:val="fr-BE" w:eastAsia="nl-BE"/>
              </w:rPr>
              <w:t>Présence d’un risque sur la sécurité opérationnelle</w:t>
            </w:r>
            <w:r w:rsidR="00A80647">
              <w:rPr>
                <w:rFonts w:eastAsia="Times New Roman"/>
                <w:szCs w:val="20"/>
                <w:lang w:val="fr-BE" w:eastAsia="nl-BE"/>
              </w:rPr>
              <w:t xml:space="preserve"> nécessitant la prise de mesure de limitation de la flex</w:t>
            </w:r>
            <w:r w:rsidR="00AF4FDD">
              <w:rPr>
                <w:rFonts w:eastAsia="Times New Roman"/>
                <w:szCs w:val="20"/>
                <w:lang w:val="fr-BE" w:eastAsia="nl-BE"/>
              </w:rPr>
              <w:t>i</w:t>
            </w:r>
            <w:r w:rsidR="00A80647">
              <w:rPr>
                <w:rFonts w:eastAsia="Times New Roman"/>
                <w:szCs w:val="20"/>
                <w:lang w:val="fr-BE" w:eastAsia="nl-BE"/>
              </w:rPr>
              <w:t>bilité</w:t>
            </w:r>
            <w:r w:rsidR="009E2D8D">
              <w:rPr>
                <w:rFonts w:eastAsia="Times New Roman"/>
                <w:szCs w:val="20"/>
                <w:lang w:val="fr-BE" w:eastAsia="nl-BE"/>
              </w:rPr>
              <w:t xml:space="preserve"> dans la direction UP</w:t>
            </w:r>
          </w:p>
        </w:tc>
      </w:tr>
      <w:tr w:rsidR="002904D9" w:rsidRPr="009735BD" w14:paraId="61F425ED" w14:textId="77777777" w:rsidTr="002904D9">
        <w:trPr>
          <w:trHeight w:val="631"/>
        </w:trPr>
        <w:tc>
          <w:tcPr>
            <w:tcW w:w="3003" w:type="dxa"/>
            <w:tcBorders>
              <w:bottom w:val="single" w:sz="4" w:space="0" w:color="auto"/>
            </w:tcBorders>
            <w:shd w:val="clear" w:color="auto" w:fill="FF0000"/>
            <w:vAlign w:val="center"/>
          </w:tcPr>
          <w:p w14:paraId="52BC731D" w14:textId="4FA78BE7" w:rsidR="002904D9" w:rsidRDefault="002904D9" w:rsidP="00384BE0">
            <w:pPr>
              <w:jc w:val="center"/>
              <w:rPr>
                <w:rFonts w:eastAsia="Times New Roman"/>
                <w:color w:val="FFFFFF"/>
                <w:szCs w:val="20"/>
                <w:lang w:val="fr-BE" w:eastAsia="nl-BE"/>
              </w:rPr>
            </w:pPr>
            <w:r>
              <w:rPr>
                <w:rFonts w:eastAsia="Times New Roman"/>
                <w:color w:val="FFFFFF"/>
                <w:szCs w:val="20"/>
                <w:lang w:val="fr-BE" w:eastAsia="nl-BE"/>
              </w:rPr>
              <w:t>ROUGE (DOWN)</w:t>
            </w:r>
          </w:p>
        </w:tc>
        <w:tc>
          <w:tcPr>
            <w:tcW w:w="6461" w:type="dxa"/>
            <w:shd w:val="clear" w:color="auto" w:fill="auto"/>
            <w:vAlign w:val="center"/>
          </w:tcPr>
          <w:p w14:paraId="2298FB79" w14:textId="65E99F93" w:rsidR="002904D9" w:rsidRDefault="002904D9" w:rsidP="00384BE0">
            <w:pPr>
              <w:rPr>
                <w:rFonts w:eastAsia="Times New Roman"/>
                <w:szCs w:val="20"/>
                <w:lang w:val="fr-BE" w:eastAsia="nl-BE"/>
              </w:rPr>
            </w:pPr>
            <w:r>
              <w:rPr>
                <w:rFonts w:eastAsia="Times New Roman"/>
                <w:szCs w:val="20"/>
                <w:lang w:val="fr-BE" w:eastAsia="nl-BE"/>
              </w:rPr>
              <w:t>Présence d’un risque sur la sécurité opérationnelle nécessitant la prise de mesure de limitation de la flexibilité dans la direction DOWN</w:t>
            </w:r>
          </w:p>
        </w:tc>
      </w:tr>
      <w:tr w:rsidR="002904D9" w:rsidRPr="009735BD" w14:paraId="5C8946D1" w14:textId="77777777" w:rsidTr="002904D9">
        <w:trPr>
          <w:trHeight w:val="631"/>
        </w:trPr>
        <w:tc>
          <w:tcPr>
            <w:tcW w:w="3003" w:type="dxa"/>
            <w:tcBorders>
              <w:bottom w:val="single" w:sz="4" w:space="0" w:color="auto"/>
            </w:tcBorders>
            <w:shd w:val="clear" w:color="auto" w:fill="FF0000"/>
            <w:vAlign w:val="center"/>
          </w:tcPr>
          <w:p w14:paraId="01251469" w14:textId="4E4C8FB9" w:rsidR="002904D9" w:rsidRDefault="002904D9" w:rsidP="002904D9">
            <w:pPr>
              <w:jc w:val="center"/>
              <w:rPr>
                <w:rFonts w:eastAsia="Times New Roman"/>
                <w:color w:val="FFFFFF"/>
                <w:szCs w:val="20"/>
                <w:lang w:val="fr-BE" w:eastAsia="nl-BE"/>
              </w:rPr>
            </w:pPr>
            <w:r w:rsidRPr="00C35D6D">
              <w:rPr>
                <w:rFonts w:eastAsia="Times New Roman"/>
                <w:color w:val="FFFFFF"/>
                <w:szCs w:val="20"/>
                <w:lang w:val="en-GB" w:eastAsia="nl-BE"/>
              </w:rPr>
              <w:t>ROUGE (UP &amp; DOWN)</w:t>
            </w:r>
          </w:p>
        </w:tc>
        <w:tc>
          <w:tcPr>
            <w:tcW w:w="6461" w:type="dxa"/>
            <w:shd w:val="clear" w:color="auto" w:fill="auto"/>
            <w:vAlign w:val="center"/>
          </w:tcPr>
          <w:p w14:paraId="068CA457" w14:textId="618A26EB" w:rsidR="002904D9" w:rsidRDefault="002904D9" w:rsidP="002904D9">
            <w:pPr>
              <w:rPr>
                <w:rFonts w:eastAsia="Times New Roman"/>
                <w:szCs w:val="20"/>
                <w:lang w:val="fr-BE" w:eastAsia="nl-BE"/>
              </w:rPr>
            </w:pPr>
            <w:r>
              <w:rPr>
                <w:rFonts w:eastAsia="Times New Roman"/>
                <w:szCs w:val="20"/>
                <w:lang w:val="fr-BE" w:eastAsia="nl-BE"/>
              </w:rPr>
              <w:t>Présence d’un risque sur la sécurité opérationnelle nécessitant la prise de mesure de limitation de la flexibilité dans les deux directions UP et DOWN</w:t>
            </w:r>
          </w:p>
        </w:tc>
      </w:tr>
    </w:tbl>
    <w:p w14:paraId="6EF19D55" w14:textId="77777777" w:rsidR="00B30021" w:rsidRDefault="00B30021" w:rsidP="002715D4">
      <w:pPr>
        <w:keepNext/>
        <w:keepLines/>
        <w:widowControl w:val="0"/>
        <w:contextualSpacing/>
        <w:jc w:val="both"/>
        <w:rPr>
          <w:rFonts w:eastAsia="Times New Roman"/>
          <w:bCs/>
          <w:iCs/>
          <w:szCs w:val="24"/>
          <w:lang w:val="fr-FR" w:eastAsia="nl-NL"/>
        </w:rPr>
      </w:pPr>
    </w:p>
    <w:p w14:paraId="462DC302" w14:textId="12581EB3" w:rsidR="003103A4" w:rsidRPr="00491EF2" w:rsidRDefault="00956ECE" w:rsidP="00402922">
      <w:pPr>
        <w:pStyle w:val="Titre1"/>
        <w:numPr>
          <w:ilvl w:val="0"/>
          <w:numId w:val="19"/>
        </w:numPr>
        <w:rPr>
          <w:lang w:val="fr-BE"/>
        </w:rPr>
      </w:pPr>
      <w:bookmarkStart w:id="102" w:name="_Toc438464636"/>
      <w:bookmarkStart w:id="103" w:name="_Toc438465091"/>
      <w:bookmarkStart w:id="104" w:name="_Toc65745140"/>
      <w:bookmarkEnd w:id="102"/>
      <w:bookmarkEnd w:id="103"/>
      <w:r w:rsidRPr="00491EF2">
        <w:rPr>
          <w:lang w:val="fr-BE"/>
        </w:rPr>
        <w:t xml:space="preserve">Etape </w:t>
      </w:r>
      <w:r w:rsidR="00E43DF3">
        <w:rPr>
          <w:lang w:val="fr-BE"/>
        </w:rPr>
        <w:t>3</w:t>
      </w:r>
      <w:r w:rsidR="006A3194">
        <w:rPr>
          <w:lang w:val="fr-BE"/>
        </w:rPr>
        <w:t xml:space="preserve"> </w:t>
      </w:r>
      <w:r w:rsidR="0096665D" w:rsidRPr="00491EF2">
        <w:rPr>
          <w:lang w:val="fr-BE"/>
        </w:rPr>
        <w:t xml:space="preserve">: </w:t>
      </w:r>
      <w:r w:rsidR="00E43DF3">
        <w:rPr>
          <w:lang w:val="fr-BE"/>
        </w:rPr>
        <w:t>R</w:t>
      </w:r>
      <w:r w:rsidR="00B30021" w:rsidRPr="00491EF2">
        <w:rPr>
          <w:lang w:val="fr-BE"/>
        </w:rPr>
        <w:t>ésultat de l’étude</w:t>
      </w:r>
      <w:r w:rsidR="0035473B" w:rsidRPr="00491EF2">
        <w:rPr>
          <w:lang w:val="fr-BE"/>
        </w:rPr>
        <w:t xml:space="preserve"> NFS</w:t>
      </w:r>
      <w:r w:rsidR="00B30021" w:rsidRPr="00491EF2">
        <w:rPr>
          <w:lang w:val="fr-BE"/>
        </w:rPr>
        <w:t xml:space="preserve"> : impact</w:t>
      </w:r>
      <w:r w:rsidR="0035473B" w:rsidRPr="00491EF2">
        <w:rPr>
          <w:lang w:val="fr-BE"/>
        </w:rPr>
        <w:t xml:space="preserve"> sur la </w:t>
      </w:r>
      <w:r w:rsidR="00B30021" w:rsidRPr="00491EF2">
        <w:rPr>
          <w:lang w:val="fr-BE"/>
        </w:rPr>
        <w:t>qualification des</w:t>
      </w:r>
      <w:r w:rsidR="0096665D" w:rsidRPr="00491EF2">
        <w:rPr>
          <w:lang w:val="fr-BE"/>
        </w:rPr>
        <w:t xml:space="preserve"> point</w:t>
      </w:r>
      <w:r w:rsidR="00B30021" w:rsidRPr="00491EF2">
        <w:rPr>
          <w:lang w:val="fr-BE"/>
        </w:rPr>
        <w:t>s</w:t>
      </w:r>
      <w:r w:rsidR="0096665D" w:rsidRPr="00491EF2">
        <w:rPr>
          <w:lang w:val="fr-BE"/>
        </w:rPr>
        <w:t xml:space="preserve"> </w:t>
      </w:r>
      <w:r w:rsidRPr="00491EF2">
        <w:rPr>
          <w:lang w:val="fr-BE"/>
        </w:rPr>
        <w:t>de raccordement</w:t>
      </w:r>
      <w:bookmarkEnd w:id="104"/>
      <w:r w:rsidRPr="00491EF2" w:rsidDel="00956ECE">
        <w:rPr>
          <w:lang w:val="fr-BE"/>
        </w:rPr>
        <w:t xml:space="preserve"> </w:t>
      </w:r>
      <w:bookmarkStart w:id="105" w:name="_Toc438464637"/>
      <w:bookmarkStart w:id="106" w:name="_Toc438465092"/>
      <w:bookmarkStart w:id="107" w:name="_Toc438464638"/>
      <w:bookmarkStart w:id="108" w:name="_Toc438465093"/>
      <w:bookmarkStart w:id="109" w:name="_Toc438464639"/>
      <w:bookmarkStart w:id="110" w:name="_Toc438465094"/>
      <w:bookmarkStart w:id="111" w:name="_Toc438464640"/>
      <w:bookmarkStart w:id="112" w:name="_Toc438465095"/>
      <w:bookmarkStart w:id="113" w:name="_Toc438464641"/>
      <w:bookmarkStart w:id="114" w:name="_Toc438465096"/>
      <w:bookmarkStart w:id="115" w:name="_Toc438464642"/>
      <w:bookmarkStart w:id="116" w:name="_Toc438465097"/>
      <w:bookmarkStart w:id="117" w:name="_Toc438464643"/>
      <w:bookmarkStart w:id="118" w:name="_Toc438465098"/>
      <w:bookmarkStart w:id="119" w:name="_Toc438464644"/>
      <w:bookmarkStart w:id="120" w:name="_Toc438465099"/>
      <w:bookmarkStart w:id="121" w:name="_Toc438464645"/>
      <w:bookmarkStart w:id="122" w:name="_Toc438465100"/>
      <w:bookmarkStart w:id="123" w:name="_Toc438464646"/>
      <w:bookmarkStart w:id="124" w:name="_Toc438465101"/>
      <w:bookmarkStart w:id="125" w:name="_Toc438464647"/>
      <w:bookmarkStart w:id="126" w:name="_Toc438465102"/>
      <w:bookmarkStart w:id="127" w:name="_Toc438464648"/>
      <w:bookmarkStart w:id="128" w:name="_Toc438465103"/>
      <w:bookmarkStart w:id="129" w:name="_Toc438464649"/>
      <w:bookmarkStart w:id="130" w:name="_Toc438465104"/>
      <w:bookmarkStart w:id="131" w:name="_Toc438464650"/>
      <w:bookmarkStart w:id="132" w:name="_Toc438465105"/>
      <w:bookmarkStart w:id="133" w:name="_Toc438464651"/>
      <w:bookmarkStart w:id="134" w:name="_Toc438465106"/>
      <w:bookmarkStart w:id="135" w:name="_Toc438464652"/>
      <w:bookmarkStart w:id="136" w:name="_Toc438465107"/>
      <w:bookmarkStart w:id="137" w:name="_Toc338773445"/>
      <w:bookmarkStart w:id="138" w:name="_Toc351378939"/>
      <w:bookmarkEnd w:id="81"/>
      <w:bookmarkEnd w:id="8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46C5E96" w14:textId="77777777" w:rsidR="000C4BED" w:rsidRPr="007B7467" w:rsidRDefault="000C4BED" w:rsidP="00690389">
      <w:pPr>
        <w:pStyle w:val="Titre2"/>
        <w:rPr>
          <w:lang w:val="fr-BE"/>
        </w:rPr>
      </w:pPr>
      <w:bookmarkStart w:id="139" w:name="_Toc438464654"/>
      <w:bookmarkStart w:id="140" w:name="_Toc438465109"/>
      <w:bookmarkStart w:id="141" w:name="_Toc65745141"/>
      <w:bookmarkEnd w:id="139"/>
      <w:bookmarkEnd w:id="140"/>
      <w:r w:rsidRPr="007B7467">
        <w:rPr>
          <w:lang w:val="fr-BE"/>
        </w:rPr>
        <w:t>Principes</w:t>
      </w:r>
      <w:bookmarkEnd w:id="141"/>
    </w:p>
    <w:p w14:paraId="61FCC14E" w14:textId="77777777" w:rsidR="008C47CA" w:rsidRDefault="008C47CA" w:rsidP="008C47CA">
      <w:pPr>
        <w:pStyle w:val="Paragraphedeliste"/>
        <w:ind w:left="360"/>
        <w:rPr>
          <w:lang w:val="fr-BE"/>
        </w:rPr>
      </w:pPr>
    </w:p>
    <w:p w14:paraId="0C757D7B" w14:textId="31493ED8" w:rsidR="00DC69EC" w:rsidRDefault="00956ECE" w:rsidP="00402922">
      <w:pPr>
        <w:pStyle w:val="Paragraphedeliste"/>
        <w:numPr>
          <w:ilvl w:val="0"/>
          <w:numId w:val="18"/>
        </w:numPr>
        <w:rPr>
          <w:lang w:val="fr-BE"/>
        </w:rPr>
      </w:pPr>
      <w:r>
        <w:rPr>
          <w:lang w:val="fr-BE"/>
        </w:rPr>
        <w:t>Dans les zones vert</w:t>
      </w:r>
      <w:r w:rsidR="00984A0C">
        <w:rPr>
          <w:lang w:val="fr-BE"/>
        </w:rPr>
        <w:t>es</w:t>
      </w:r>
      <w:r>
        <w:rPr>
          <w:lang w:val="fr-BE"/>
        </w:rPr>
        <w:t xml:space="preserve">, </w:t>
      </w:r>
      <w:r w:rsidR="00D17C59">
        <w:rPr>
          <w:lang w:val="fr-BE"/>
        </w:rPr>
        <w:t xml:space="preserve">tous les points de raccordement ayant suivi la procédure décrite </w:t>
      </w:r>
      <w:r w:rsidR="000C4BED">
        <w:rPr>
          <w:lang w:val="fr-BE"/>
        </w:rPr>
        <w:t>ci-dessus</w:t>
      </w:r>
      <w:r w:rsidR="00D17C59">
        <w:rPr>
          <w:lang w:val="fr-BE"/>
        </w:rPr>
        <w:t xml:space="preserve"> </w:t>
      </w:r>
      <w:r w:rsidR="00B87175">
        <w:rPr>
          <w:lang w:val="fr-BE"/>
        </w:rPr>
        <w:t xml:space="preserve">sont </w:t>
      </w:r>
      <w:r w:rsidR="00984A0C">
        <w:rPr>
          <w:lang w:val="fr-BE"/>
        </w:rPr>
        <w:t>qualifiés</w:t>
      </w:r>
      <w:r w:rsidR="00D17C59">
        <w:rPr>
          <w:lang w:val="fr-BE"/>
        </w:rPr>
        <w:t>, sans contrainte,</w:t>
      </w:r>
      <w:r w:rsidR="00984A0C">
        <w:rPr>
          <w:lang w:val="fr-BE"/>
        </w:rPr>
        <w:t xml:space="preserve"> pour une </w:t>
      </w:r>
      <w:r w:rsidR="00B87175">
        <w:rPr>
          <w:lang w:val="fr-BE"/>
        </w:rPr>
        <w:t>durée</w:t>
      </w:r>
      <w:r w:rsidR="00984A0C">
        <w:rPr>
          <w:lang w:val="fr-BE"/>
        </w:rPr>
        <w:t xml:space="preserve"> indé</w:t>
      </w:r>
      <w:r>
        <w:rPr>
          <w:lang w:val="fr-BE"/>
        </w:rPr>
        <w:t>terminée</w:t>
      </w:r>
      <w:r w:rsidR="00984A0C">
        <w:rPr>
          <w:lang w:val="fr-BE"/>
        </w:rPr>
        <w:t xml:space="preserve">. </w:t>
      </w:r>
    </w:p>
    <w:p w14:paraId="125B9B1F" w14:textId="67A07A67" w:rsidR="00DC69EC" w:rsidRDefault="00B87175" w:rsidP="00402922">
      <w:pPr>
        <w:pStyle w:val="Paragraphedeliste"/>
        <w:numPr>
          <w:ilvl w:val="0"/>
          <w:numId w:val="18"/>
        </w:numPr>
        <w:rPr>
          <w:lang w:val="fr-BE"/>
        </w:rPr>
      </w:pPr>
      <w:r w:rsidRPr="00DC69EC">
        <w:rPr>
          <w:lang w:val="fr-BE"/>
        </w:rPr>
        <w:t>Lorsqu’</w:t>
      </w:r>
      <w:r w:rsidR="008F7288" w:rsidRPr="00DC69EC">
        <w:rPr>
          <w:lang w:val="fr-BE"/>
        </w:rPr>
        <w:t>une zone</w:t>
      </w:r>
      <w:r w:rsidRPr="00DC69EC">
        <w:rPr>
          <w:lang w:val="fr-BE"/>
        </w:rPr>
        <w:t xml:space="preserve"> verte devient rouge </w:t>
      </w:r>
      <w:r w:rsidR="0007631A">
        <w:rPr>
          <w:lang w:val="fr-BE"/>
        </w:rPr>
        <w:t xml:space="preserve">dans une ou deux directions </w:t>
      </w:r>
      <w:r w:rsidRPr="00DC69EC">
        <w:rPr>
          <w:lang w:val="fr-BE"/>
        </w:rPr>
        <w:t>suite à une nouvelle étude NFS</w:t>
      </w:r>
      <w:r w:rsidR="00984A0C" w:rsidRPr="00DC69EC">
        <w:rPr>
          <w:lang w:val="fr-BE"/>
        </w:rPr>
        <w:t xml:space="preserve">, </w:t>
      </w:r>
    </w:p>
    <w:p w14:paraId="5F5ABA05" w14:textId="4F9DD6D9" w:rsidR="0009043F" w:rsidRPr="00CC1A41" w:rsidRDefault="0009043F" w:rsidP="00402922">
      <w:pPr>
        <w:pStyle w:val="Paragraphedeliste"/>
        <w:numPr>
          <w:ilvl w:val="1"/>
          <w:numId w:val="18"/>
        </w:numPr>
        <w:rPr>
          <w:lang w:val="fr-BE"/>
        </w:rPr>
      </w:pPr>
      <w:r>
        <w:rPr>
          <w:lang w:val="fr-BE"/>
        </w:rPr>
        <w:t>Elle le devient à partir du 1</w:t>
      </w:r>
      <w:r w:rsidRPr="0009043F">
        <w:rPr>
          <w:vertAlign w:val="superscript"/>
          <w:lang w:val="fr-BE"/>
        </w:rPr>
        <w:t>ier</w:t>
      </w:r>
      <w:r>
        <w:rPr>
          <w:lang w:val="fr-BE"/>
        </w:rPr>
        <w:t xml:space="preserve"> jour du mois qui suit le mois concerné par la NFS. </w:t>
      </w:r>
      <w:r w:rsidRPr="00CC1A41">
        <w:rPr>
          <w:lang w:val="fr-BE"/>
        </w:rPr>
        <w:t>Cette date</w:t>
      </w:r>
      <w:r w:rsidR="00DC1BB6" w:rsidRPr="00CC1A41">
        <w:rPr>
          <w:lang w:val="fr-BE"/>
        </w:rPr>
        <w:t xml:space="preserve"> </w:t>
      </w:r>
      <w:r w:rsidRPr="00CC1A41">
        <w:rPr>
          <w:lang w:val="fr-BE"/>
        </w:rPr>
        <w:t>est appelée</w:t>
      </w:r>
      <w:r w:rsidR="00DC1BB6" w:rsidRPr="00CC1A41">
        <w:rPr>
          <w:lang w:val="fr-BE"/>
        </w:rPr>
        <w:t xml:space="preserve"> date-pivot </w:t>
      </w:r>
      <w:r w:rsidRPr="00CC1A41">
        <w:rPr>
          <w:lang w:val="fr-BE"/>
        </w:rPr>
        <w:t>de la zone rouge.</w:t>
      </w:r>
    </w:p>
    <w:p w14:paraId="369F2FC7" w14:textId="4F7FA65D" w:rsidR="00DC69EC" w:rsidRDefault="00DC69EC" w:rsidP="00402922">
      <w:pPr>
        <w:pStyle w:val="Paragraphedeliste"/>
        <w:numPr>
          <w:ilvl w:val="1"/>
          <w:numId w:val="18"/>
        </w:numPr>
        <w:rPr>
          <w:lang w:val="fr-BE"/>
        </w:rPr>
      </w:pPr>
      <w:r>
        <w:rPr>
          <w:lang w:val="fr-BE"/>
        </w:rPr>
        <w:t xml:space="preserve">Pour </w:t>
      </w:r>
      <w:r w:rsidRPr="00DC69EC">
        <w:rPr>
          <w:lang w:val="fr-BE"/>
        </w:rPr>
        <w:t>l</w:t>
      </w:r>
      <w:r w:rsidR="00363196" w:rsidRPr="00DC69EC">
        <w:rPr>
          <w:lang w:val="fr-BE"/>
        </w:rPr>
        <w:t xml:space="preserve">es </w:t>
      </w:r>
      <w:r w:rsidR="00B87175" w:rsidRPr="00DC69EC">
        <w:rPr>
          <w:lang w:val="fr-BE"/>
        </w:rPr>
        <w:t>qualifications déjà octroyées dans cette zone</w:t>
      </w:r>
      <w:r>
        <w:rPr>
          <w:lang w:val="fr-BE"/>
        </w:rPr>
        <w:t> : Celles-c</w:t>
      </w:r>
      <w:r w:rsidR="00715539">
        <w:rPr>
          <w:lang w:val="fr-BE"/>
        </w:rPr>
        <w:t>i</w:t>
      </w:r>
      <w:r w:rsidR="00363196" w:rsidRPr="00DC69EC">
        <w:rPr>
          <w:lang w:val="fr-BE"/>
        </w:rPr>
        <w:t xml:space="preserve"> restent </w:t>
      </w:r>
      <w:r w:rsidR="00B87175" w:rsidRPr="00DC69EC">
        <w:rPr>
          <w:lang w:val="fr-BE"/>
        </w:rPr>
        <w:t>valides</w:t>
      </w:r>
      <w:r w:rsidR="00363196" w:rsidRPr="00DC69EC">
        <w:rPr>
          <w:lang w:val="fr-BE"/>
        </w:rPr>
        <w:t xml:space="preserve"> </w:t>
      </w:r>
      <w:r w:rsidR="00363196" w:rsidRPr="00CC1A41">
        <w:rPr>
          <w:lang w:val="fr-BE"/>
        </w:rPr>
        <w:t>pendant 1</w:t>
      </w:r>
      <w:r w:rsidR="00B87175" w:rsidRPr="00CC1A41">
        <w:rPr>
          <w:lang w:val="fr-BE"/>
        </w:rPr>
        <w:t>2 mois</w:t>
      </w:r>
      <w:r w:rsidR="0009043F" w:rsidRPr="00CC1A41">
        <w:rPr>
          <w:lang w:val="fr-BE"/>
        </w:rPr>
        <w:t xml:space="preserve"> suivant la</w:t>
      </w:r>
      <w:r w:rsidR="007C6C39" w:rsidRPr="00CC1A41">
        <w:rPr>
          <w:lang w:val="fr-BE"/>
        </w:rPr>
        <w:t xml:space="preserve"> première</w:t>
      </w:r>
      <w:r w:rsidR="00DC1BB6" w:rsidRPr="00CC1A41">
        <w:rPr>
          <w:lang w:val="fr-BE"/>
        </w:rPr>
        <w:t xml:space="preserve"> date-pivot</w:t>
      </w:r>
      <w:r w:rsidR="0009043F" w:rsidRPr="00CC1A41">
        <w:rPr>
          <w:lang w:val="fr-BE"/>
        </w:rPr>
        <w:t xml:space="preserve"> de la zone rouge</w:t>
      </w:r>
      <w:r w:rsidR="0009043F">
        <w:rPr>
          <w:lang w:val="fr-BE"/>
        </w:rPr>
        <w:t>.</w:t>
      </w:r>
      <w:r w:rsidR="00486E5B">
        <w:rPr>
          <w:lang w:val="fr-BE"/>
        </w:rPr>
        <w:t xml:space="preserve">  </w:t>
      </w:r>
    </w:p>
    <w:p w14:paraId="118D447B" w14:textId="4B126A0A" w:rsidR="008F3D71" w:rsidRDefault="008F3D71" w:rsidP="008F3D71">
      <w:pPr>
        <w:pStyle w:val="Paragraphedeliste"/>
        <w:ind w:left="1080"/>
        <w:rPr>
          <w:lang w:val="fr-BE"/>
        </w:rPr>
      </w:pPr>
      <w:r>
        <w:rPr>
          <w:lang w:val="fr-BE"/>
        </w:rPr>
        <w:t>Toutefois</w:t>
      </w:r>
      <w:r w:rsidR="00662D08">
        <w:rPr>
          <w:lang w:val="fr-BE"/>
        </w:rPr>
        <w:t xml:space="preserve">, si </w:t>
      </w:r>
      <w:r w:rsidR="00DE0387">
        <w:rPr>
          <w:lang w:val="fr-BE"/>
        </w:rPr>
        <w:t xml:space="preserve">un contrat </w:t>
      </w:r>
      <w:r w:rsidR="00E90D54">
        <w:rPr>
          <w:lang w:val="fr-BE"/>
        </w:rPr>
        <w:t xml:space="preserve">pluriannuel </w:t>
      </w:r>
      <w:r w:rsidR="00A033C0">
        <w:rPr>
          <w:lang w:val="fr-BE"/>
        </w:rPr>
        <w:t>approuvé pa</w:t>
      </w:r>
      <w:r w:rsidR="00A23083">
        <w:rPr>
          <w:lang w:val="fr-BE"/>
        </w:rPr>
        <w:t xml:space="preserve">r un régulateur </w:t>
      </w:r>
      <w:r w:rsidR="00E90D54">
        <w:rPr>
          <w:lang w:val="fr-BE"/>
        </w:rPr>
        <w:t xml:space="preserve">pour un Service de flexibilité spécifique </w:t>
      </w:r>
      <w:r w:rsidR="00624BA0">
        <w:rPr>
          <w:lang w:val="fr-BE"/>
        </w:rPr>
        <w:t xml:space="preserve">avec le FRP avait été </w:t>
      </w:r>
      <w:r w:rsidR="0052573D">
        <w:rPr>
          <w:lang w:val="fr-BE"/>
        </w:rPr>
        <w:t xml:space="preserve">conclu, </w:t>
      </w:r>
      <w:r w:rsidRPr="008F3D71">
        <w:rPr>
          <w:lang w:val="fr-BE"/>
        </w:rPr>
        <w:t>le résultat de la NFS reste valide jusqu’a la première date anniversaire de la date</w:t>
      </w:r>
      <w:r w:rsidR="00195368">
        <w:rPr>
          <w:lang w:val="fr-BE"/>
        </w:rPr>
        <w:t>-</w:t>
      </w:r>
      <w:r w:rsidRPr="008F3D71">
        <w:rPr>
          <w:lang w:val="fr-BE"/>
        </w:rPr>
        <w:t xml:space="preserve">pivot qui suit la fin </w:t>
      </w:r>
      <w:r w:rsidR="00195368">
        <w:rPr>
          <w:lang w:val="fr-BE"/>
        </w:rPr>
        <w:t>ce</w:t>
      </w:r>
      <w:r w:rsidRPr="008F3D71">
        <w:rPr>
          <w:lang w:val="fr-BE"/>
        </w:rPr>
        <w:t xml:space="preserve"> contrat pluriannuel.</w:t>
      </w:r>
    </w:p>
    <w:p w14:paraId="3C1DF132" w14:textId="77777777" w:rsidR="005225AD" w:rsidRDefault="00DC69EC" w:rsidP="005225AD">
      <w:pPr>
        <w:pStyle w:val="Paragraphedeliste"/>
        <w:numPr>
          <w:ilvl w:val="1"/>
          <w:numId w:val="18"/>
        </w:numPr>
        <w:rPr>
          <w:lang w:val="fr-BE"/>
        </w:rPr>
      </w:pPr>
      <w:r>
        <w:rPr>
          <w:lang w:val="fr-BE"/>
        </w:rPr>
        <w:t xml:space="preserve">Pour les </w:t>
      </w:r>
      <w:r w:rsidRPr="00DC69EC">
        <w:rPr>
          <w:lang w:val="fr-BE"/>
        </w:rPr>
        <w:t>points de raccordement pour lesquels une nouvelle demande de qualification a été introduite</w:t>
      </w:r>
      <w:r>
        <w:rPr>
          <w:lang w:val="fr-BE"/>
        </w:rPr>
        <w:t xml:space="preserve"> : </w:t>
      </w:r>
      <w:r w:rsidR="00715539">
        <w:rPr>
          <w:lang w:val="fr-BE"/>
        </w:rPr>
        <w:t>eux</w:t>
      </w:r>
      <w:r>
        <w:rPr>
          <w:lang w:val="fr-BE"/>
        </w:rPr>
        <w:t xml:space="preserve"> seuls</w:t>
      </w:r>
      <w:r w:rsidR="00DC1BB6">
        <w:rPr>
          <w:lang w:val="fr-BE"/>
        </w:rPr>
        <w:t xml:space="preserve"> risquent d’être limités</w:t>
      </w:r>
      <w:r w:rsidR="00B87175" w:rsidRPr="00DC69EC">
        <w:rPr>
          <w:lang w:val="fr-BE"/>
        </w:rPr>
        <w:t xml:space="preserve"> par la contrainte résea</w:t>
      </w:r>
      <w:r w:rsidR="00E563BB" w:rsidRPr="00DC69EC">
        <w:rPr>
          <w:lang w:val="fr-BE"/>
        </w:rPr>
        <w:t>u détectée lors de l’étude NFS</w:t>
      </w:r>
      <w:r w:rsidR="00BD1AB8" w:rsidRPr="00DC69EC">
        <w:rPr>
          <w:lang w:val="fr-BE"/>
        </w:rPr>
        <w:t>.</w:t>
      </w:r>
      <w:r w:rsidRPr="00DC69EC">
        <w:rPr>
          <w:lang w:val="fr-BE"/>
        </w:rPr>
        <w:t xml:space="preserve"> </w:t>
      </w:r>
      <w:r>
        <w:rPr>
          <w:lang w:val="fr-BE"/>
        </w:rPr>
        <w:t xml:space="preserve">En fonction du risque de dépassement de la sécurité opérationnelle, le GRD imposera des restrictions à l’utilisation de la </w:t>
      </w:r>
      <w:proofErr w:type="spellStart"/>
      <w:r>
        <w:rPr>
          <w:lang w:val="fr-BE"/>
        </w:rPr>
        <w:t>flexiblité</w:t>
      </w:r>
      <w:proofErr w:type="spellEnd"/>
      <w:r w:rsidR="004617A4">
        <w:rPr>
          <w:lang w:val="fr-BE"/>
        </w:rPr>
        <w:t>.</w:t>
      </w:r>
      <w:r w:rsidR="0078007F">
        <w:rPr>
          <w:lang w:val="fr-BE"/>
        </w:rPr>
        <w:t xml:space="preserve"> </w:t>
      </w:r>
      <w:r w:rsidR="004617A4">
        <w:rPr>
          <w:lang w:val="fr-BE"/>
        </w:rPr>
        <w:t>C</w:t>
      </w:r>
      <w:r w:rsidR="0078007F">
        <w:rPr>
          <w:lang w:val="fr-BE"/>
        </w:rPr>
        <w:t>es restrictions peuvent par exemple porter sur l</w:t>
      </w:r>
      <w:r w:rsidR="00B004CE">
        <w:rPr>
          <w:lang w:val="fr-BE"/>
        </w:rPr>
        <w:t>a</w:t>
      </w:r>
      <w:r w:rsidR="0078007F">
        <w:rPr>
          <w:lang w:val="fr-BE"/>
        </w:rPr>
        <w:t xml:space="preserve"> </w:t>
      </w:r>
      <w:r w:rsidR="00B004CE">
        <w:rPr>
          <w:lang w:val="fr-BE"/>
        </w:rPr>
        <w:t>puissance activable pendant certaines périodes</w:t>
      </w:r>
      <w:r w:rsidR="00E7081D">
        <w:rPr>
          <w:lang w:val="fr-BE"/>
        </w:rPr>
        <w:t xml:space="preserve"> et</w:t>
      </w:r>
      <w:r w:rsidR="00B004CE">
        <w:rPr>
          <w:lang w:val="fr-BE"/>
        </w:rPr>
        <w:t> </w:t>
      </w:r>
      <w:r w:rsidR="001E4255">
        <w:rPr>
          <w:lang w:val="fr-BE"/>
        </w:rPr>
        <w:t xml:space="preserve">sont </w:t>
      </w:r>
      <w:r w:rsidR="00060F02">
        <w:rPr>
          <w:lang w:val="fr-BE"/>
        </w:rPr>
        <w:t>d’application tant que le risque de sécurité opérationnelle n’est pas levé</w:t>
      </w:r>
      <w:r w:rsidR="00EE1B0C">
        <w:rPr>
          <w:lang w:val="fr-BE"/>
        </w:rPr>
        <w:t>,</w:t>
      </w:r>
      <w:r w:rsidR="001E4255" w:rsidRPr="009231C7">
        <w:rPr>
          <w:lang w:val="fr-BE"/>
        </w:rPr>
        <w:t xml:space="preserve"> sauf </w:t>
      </w:r>
      <w:r w:rsidR="009C2E92" w:rsidRPr="009231C7">
        <w:rPr>
          <w:lang w:val="fr-BE"/>
        </w:rPr>
        <w:t>dans le cas particulier décrit au</w:t>
      </w:r>
      <w:r w:rsidR="001E4255" w:rsidRPr="009231C7">
        <w:rPr>
          <w:lang w:val="fr-BE"/>
        </w:rPr>
        <w:t xml:space="preserve"> point d ci-dessous</w:t>
      </w:r>
      <w:r w:rsidR="005225AD">
        <w:rPr>
          <w:lang w:val="fr-BE"/>
        </w:rPr>
        <w:t>.</w:t>
      </w:r>
    </w:p>
    <w:p w14:paraId="52419108" w14:textId="3BD6EEDA" w:rsidR="00BE6E20" w:rsidRPr="005225AD" w:rsidRDefault="00CC726D" w:rsidP="005225AD">
      <w:pPr>
        <w:pStyle w:val="Paragraphedeliste"/>
        <w:numPr>
          <w:ilvl w:val="0"/>
          <w:numId w:val="18"/>
        </w:numPr>
        <w:rPr>
          <w:lang w:val="fr-BE"/>
        </w:rPr>
      </w:pPr>
      <w:r w:rsidRPr="005225AD">
        <w:rPr>
          <w:lang w:val="fr-BE"/>
        </w:rPr>
        <w:t>A l’issue des 12 mois suivant la première date-pivot</w:t>
      </w:r>
      <w:r w:rsidR="00085659" w:rsidRPr="005225AD">
        <w:rPr>
          <w:lang w:val="fr-BE"/>
        </w:rPr>
        <w:t xml:space="preserve"> de la zone rouge, s</w:t>
      </w:r>
      <w:r w:rsidR="00CC1A41" w:rsidRPr="005225AD">
        <w:rPr>
          <w:lang w:val="fr-BE"/>
        </w:rPr>
        <w:t>i</w:t>
      </w:r>
      <w:r w:rsidR="00BD1AB8" w:rsidRPr="005225AD">
        <w:rPr>
          <w:lang w:val="fr-BE"/>
        </w:rPr>
        <w:t xml:space="preserve"> le risque </w:t>
      </w:r>
      <w:proofErr w:type="spellStart"/>
      <w:r w:rsidR="002238BF" w:rsidRPr="005225AD">
        <w:rPr>
          <w:lang w:val="fr-BE"/>
        </w:rPr>
        <w:t>sus</w:t>
      </w:r>
      <w:r w:rsidR="00BD1AB8" w:rsidRPr="005225AD">
        <w:rPr>
          <w:lang w:val="fr-BE"/>
        </w:rPr>
        <w:t>-mentionné</w:t>
      </w:r>
      <w:proofErr w:type="spellEnd"/>
      <w:r w:rsidR="00BD1AB8" w:rsidRPr="005225AD">
        <w:rPr>
          <w:lang w:val="fr-BE"/>
        </w:rPr>
        <w:t xml:space="preserve"> est lié au volume de la flexibilité lors d’une activation</w:t>
      </w:r>
      <w:r w:rsidR="007566B8" w:rsidRPr="005225AD">
        <w:rPr>
          <w:lang w:val="fr-BE"/>
        </w:rPr>
        <w:t>,</w:t>
      </w:r>
      <w:r w:rsidR="00CC1A41" w:rsidRPr="005225AD">
        <w:rPr>
          <w:lang w:val="fr-BE"/>
        </w:rPr>
        <w:t xml:space="preserve"> et sans disposition réglementaire contraire, le GRD </w:t>
      </w:r>
      <w:r w:rsidR="00B87175" w:rsidRPr="005225AD">
        <w:rPr>
          <w:lang w:val="fr-BE"/>
        </w:rPr>
        <w:t xml:space="preserve">répartit les volumes flexibles disponibles sur son réseau </w:t>
      </w:r>
      <w:r w:rsidR="00D17C59" w:rsidRPr="005225AD">
        <w:rPr>
          <w:lang w:val="fr-BE"/>
        </w:rPr>
        <w:t>selon le principe « </w:t>
      </w:r>
      <w:proofErr w:type="spellStart"/>
      <w:r w:rsidR="00D17C59" w:rsidRPr="005225AD">
        <w:rPr>
          <w:lang w:val="fr-BE"/>
        </w:rPr>
        <w:t>advanced</w:t>
      </w:r>
      <w:proofErr w:type="spellEnd"/>
      <w:r w:rsidR="00D17C59" w:rsidRPr="005225AD">
        <w:rPr>
          <w:lang w:val="fr-BE"/>
        </w:rPr>
        <w:t xml:space="preserve"> </w:t>
      </w:r>
      <w:proofErr w:type="spellStart"/>
      <w:r w:rsidR="00D17C59" w:rsidRPr="005225AD">
        <w:rPr>
          <w:lang w:val="fr-BE"/>
        </w:rPr>
        <w:t>pro-rata</w:t>
      </w:r>
      <w:proofErr w:type="spellEnd"/>
      <w:r w:rsidR="00D17C59" w:rsidRPr="005225AD">
        <w:rPr>
          <w:lang w:val="fr-BE"/>
        </w:rPr>
        <w:t> »</w:t>
      </w:r>
      <w:r w:rsidR="00BE6E20" w:rsidRPr="009231C7">
        <w:rPr>
          <w:vertAlign w:val="superscript"/>
        </w:rPr>
        <w:footnoteReference w:id="1"/>
      </w:r>
      <w:r w:rsidR="00CC1A41" w:rsidRPr="005225AD">
        <w:rPr>
          <w:lang w:val="fr-BE"/>
        </w:rPr>
        <w:t xml:space="preserve"> </w:t>
      </w:r>
      <w:r w:rsidR="008D69E4" w:rsidRPr="005225AD">
        <w:rPr>
          <w:lang w:val="fr-BE"/>
        </w:rPr>
        <w:t>entre tous les points de raccordement concernés par la contrainte</w:t>
      </w:r>
      <w:r w:rsidR="00D17C59" w:rsidRPr="009231C7">
        <w:t xml:space="preserve">.  </w:t>
      </w:r>
    </w:p>
    <w:p w14:paraId="4FD5C0F5" w14:textId="763A8BBF" w:rsidR="00981568" w:rsidRDefault="00D305B9" w:rsidP="00402922">
      <w:pPr>
        <w:pStyle w:val="Paragraphedeliste"/>
        <w:numPr>
          <w:ilvl w:val="0"/>
          <w:numId w:val="18"/>
        </w:numPr>
        <w:rPr>
          <w:lang w:val="fr-BE"/>
        </w:rPr>
      </w:pPr>
      <w:r w:rsidRPr="00BE6E20">
        <w:rPr>
          <w:lang w:val="fr-BE"/>
        </w:rPr>
        <w:t>Lorsqu</w:t>
      </w:r>
      <w:r w:rsidR="00D17C59" w:rsidRPr="00BE6E20">
        <w:rPr>
          <w:lang w:val="fr-BE"/>
        </w:rPr>
        <w:t>’un</w:t>
      </w:r>
      <w:r w:rsidRPr="00BE6E20">
        <w:rPr>
          <w:lang w:val="fr-BE"/>
        </w:rPr>
        <w:t xml:space="preserve">e </w:t>
      </w:r>
      <w:r w:rsidR="00D17C59" w:rsidRPr="00BE6E20">
        <w:rPr>
          <w:lang w:val="fr-BE"/>
        </w:rPr>
        <w:t>zone rouge devient verte</w:t>
      </w:r>
      <w:r w:rsidRPr="00BE6E20">
        <w:rPr>
          <w:lang w:val="fr-BE"/>
        </w:rPr>
        <w:t xml:space="preserve">, </w:t>
      </w:r>
      <w:r w:rsidR="00D17C59" w:rsidRPr="00BE6E20">
        <w:rPr>
          <w:lang w:val="fr-BE"/>
        </w:rPr>
        <w:t>le premier principe</w:t>
      </w:r>
      <w:r w:rsidR="00E563BB" w:rsidRPr="00BE6E20">
        <w:rPr>
          <w:lang w:val="fr-BE"/>
        </w:rPr>
        <w:t xml:space="preserve"> (a)</w:t>
      </w:r>
      <w:r w:rsidR="00D17C59" w:rsidRPr="00BE6E20">
        <w:rPr>
          <w:lang w:val="fr-BE"/>
        </w:rPr>
        <w:t xml:space="preserve"> ci-dessus est d’application</w:t>
      </w:r>
      <w:r w:rsidR="00060F02">
        <w:rPr>
          <w:lang w:val="fr-BE"/>
        </w:rPr>
        <w:t xml:space="preserve"> pour l’ensemble des points qui y sont raccordés</w:t>
      </w:r>
      <w:r w:rsidR="00767453">
        <w:rPr>
          <w:lang w:val="fr-BE"/>
        </w:rPr>
        <w:t xml:space="preserve"> et le GRD en informe les parties concernées</w:t>
      </w:r>
      <w:r w:rsidR="00060F02">
        <w:rPr>
          <w:lang w:val="fr-BE"/>
        </w:rPr>
        <w:t>.</w:t>
      </w:r>
    </w:p>
    <w:p w14:paraId="565857F6" w14:textId="77777777" w:rsidR="001E4255" w:rsidRPr="00612081" w:rsidRDefault="001E4255" w:rsidP="00402922">
      <w:pPr>
        <w:pStyle w:val="Paragraphedeliste"/>
        <w:numPr>
          <w:ilvl w:val="0"/>
          <w:numId w:val="18"/>
        </w:numPr>
        <w:rPr>
          <w:lang w:val="fr-BE"/>
        </w:rPr>
      </w:pPr>
      <w:r w:rsidRPr="00A554DF">
        <w:rPr>
          <w:lang w:val="fr-BE"/>
        </w:rPr>
        <w:t xml:space="preserve">Tant qu’une zone rouge reste rouge, </w:t>
      </w:r>
    </w:p>
    <w:p w14:paraId="163353DC" w14:textId="08EA6A26" w:rsidR="001E4255" w:rsidRPr="00A554DF" w:rsidRDefault="001E4255" w:rsidP="00612081">
      <w:pPr>
        <w:pStyle w:val="Paragraphedeliste"/>
        <w:numPr>
          <w:ilvl w:val="1"/>
          <w:numId w:val="18"/>
        </w:numPr>
        <w:rPr>
          <w:strike/>
          <w:lang w:val="fr-BE"/>
        </w:rPr>
      </w:pPr>
      <w:r w:rsidRPr="00612081">
        <w:rPr>
          <w:lang w:val="fr-BE"/>
        </w:rPr>
        <w:t>Il reste possible d’introduire d</w:t>
      </w:r>
      <w:r w:rsidR="00391A89" w:rsidRPr="00612081">
        <w:rPr>
          <w:lang w:val="fr-BE"/>
        </w:rPr>
        <w:t>e</w:t>
      </w:r>
      <w:r w:rsidRPr="00612081">
        <w:rPr>
          <w:lang w:val="fr-BE"/>
        </w:rPr>
        <w:t xml:space="preserve"> n</w:t>
      </w:r>
      <w:r w:rsidRPr="00A554DF">
        <w:rPr>
          <w:lang w:val="fr-BE"/>
        </w:rPr>
        <w:t xml:space="preserve">ouvelles demandes de qualification dans cette zone. </w:t>
      </w:r>
    </w:p>
    <w:p w14:paraId="4A24CA15" w14:textId="77777777" w:rsidR="009C2E92" w:rsidRPr="00A554DF" w:rsidRDefault="009C2E92" w:rsidP="00402922">
      <w:pPr>
        <w:pStyle w:val="Paragraphedeliste"/>
        <w:numPr>
          <w:ilvl w:val="1"/>
          <w:numId w:val="18"/>
        </w:numPr>
        <w:rPr>
          <w:lang w:val="fr-BE"/>
        </w:rPr>
      </w:pPr>
      <w:r w:rsidRPr="00A554DF">
        <w:rPr>
          <w:lang w:val="fr-BE"/>
        </w:rPr>
        <w:t xml:space="preserve">En raison de la contrainte sur le réseau (qui est à l’origine de la zone rouge), le GRD </w:t>
      </w:r>
      <w:r w:rsidRPr="00A554DF">
        <w:t xml:space="preserve">sera amené à imposer des restrictions à l’utilisation de la flexibilité à ces nouvelles demandes. </w:t>
      </w:r>
    </w:p>
    <w:p w14:paraId="00695316" w14:textId="7F397A53" w:rsidR="009C2E92" w:rsidRPr="003064ED" w:rsidRDefault="005601AB" w:rsidP="00402922">
      <w:pPr>
        <w:pStyle w:val="Paragraphedeliste"/>
        <w:numPr>
          <w:ilvl w:val="1"/>
          <w:numId w:val="18"/>
        </w:numPr>
        <w:rPr>
          <w:lang w:val="fr-BE"/>
        </w:rPr>
      </w:pPr>
      <w:r>
        <w:t xml:space="preserve">A la date anniversaire </w:t>
      </w:r>
      <w:r w:rsidR="005C0F16">
        <w:t>de la date-pivot de la zone rouge, et sans disposition réglemen</w:t>
      </w:r>
      <w:r w:rsidR="00AB40D9">
        <w:t xml:space="preserve">taire contraire, la répartition définie </w:t>
      </w:r>
      <w:r w:rsidR="004D4056">
        <w:t xml:space="preserve">au point c) est appliquée. </w:t>
      </w:r>
    </w:p>
    <w:p w14:paraId="5B16D0F7" w14:textId="1B2D2FB8" w:rsidR="003064ED" w:rsidRPr="00A554DF" w:rsidRDefault="00661166" w:rsidP="00402922">
      <w:pPr>
        <w:pStyle w:val="Paragraphedeliste"/>
        <w:numPr>
          <w:ilvl w:val="1"/>
          <w:numId w:val="18"/>
        </w:numPr>
        <w:rPr>
          <w:lang w:val="fr-BE"/>
        </w:rPr>
      </w:pPr>
      <w:r>
        <w:rPr>
          <w:lang w:val="fr-BE"/>
        </w:rPr>
        <w:t xml:space="preserve">La zone rouge est réévaluée </w:t>
      </w:r>
      <w:r w:rsidR="00341A4F">
        <w:rPr>
          <w:lang w:val="fr-BE"/>
        </w:rPr>
        <w:t xml:space="preserve">12 mois suivant la date-pivot </w:t>
      </w:r>
      <w:r w:rsidR="00A327A5">
        <w:rPr>
          <w:lang w:val="fr-BE"/>
        </w:rPr>
        <w:t xml:space="preserve">ou plus vite après une modification </w:t>
      </w:r>
      <w:r w:rsidR="002D55A8">
        <w:rPr>
          <w:lang w:val="fr-BE"/>
        </w:rPr>
        <w:t xml:space="preserve">significative </w:t>
      </w:r>
      <w:r w:rsidR="00C0687A">
        <w:rPr>
          <w:lang w:val="fr-BE"/>
        </w:rPr>
        <w:t>de l’état du réseau de la zone rouge.</w:t>
      </w:r>
    </w:p>
    <w:p w14:paraId="63A52318" w14:textId="77777777" w:rsidR="0096665D" w:rsidRPr="00BE6E20" w:rsidRDefault="0096665D" w:rsidP="00402922">
      <w:pPr>
        <w:pStyle w:val="Paragraphedeliste"/>
        <w:numPr>
          <w:ilvl w:val="0"/>
          <w:numId w:val="18"/>
        </w:numPr>
        <w:rPr>
          <w:lang w:val="fr-BE"/>
        </w:rPr>
      </w:pPr>
      <w:r w:rsidRPr="00BE6E20">
        <w:rPr>
          <w:lang w:val="fr-BE"/>
        </w:rPr>
        <w:t xml:space="preserve">Un point de raccordement </w:t>
      </w:r>
      <w:r w:rsidR="00291A2D" w:rsidRPr="00BE6E20">
        <w:rPr>
          <w:lang w:val="fr-BE"/>
        </w:rPr>
        <w:t>perd</w:t>
      </w:r>
      <w:r w:rsidRPr="00BE6E20">
        <w:rPr>
          <w:lang w:val="fr-BE"/>
        </w:rPr>
        <w:t xml:space="preserve"> sa qualification </w:t>
      </w:r>
      <w:r w:rsidR="00ED7856" w:rsidRPr="00BE6E20">
        <w:rPr>
          <w:lang w:val="fr-BE"/>
        </w:rPr>
        <w:t>en cas de</w:t>
      </w:r>
      <w:r w:rsidR="00ED7856">
        <w:rPr>
          <w:lang w:val="fr-BE"/>
        </w:rPr>
        <w:t xml:space="preserve"> s</w:t>
      </w:r>
      <w:r w:rsidR="00ED7856" w:rsidRPr="00BE6E20">
        <w:rPr>
          <w:lang w:val="fr-BE"/>
        </w:rPr>
        <w:t>urvenance</w:t>
      </w:r>
      <w:r w:rsidRPr="00BE6E20">
        <w:rPr>
          <w:lang w:val="fr-BE"/>
        </w:rPr>
        <w:t xml:space="preserve"> </w:t>
      </w:r>
      <w:r w:rsidR="00ED7856" w:rsidRPr="00BE6E20">
        <w:rPr>
          <w:lang w:val="fr-BE"/>
        </w:rPr>
        <w:t>d’</w:t>
      </w:r>
      <w:r w:rsidRPr="00BE6E20">
        <w:rPr>
          <w:lang w:val="fr-BE"/>
        </w:rPr>
        <w:t>un</w:t>
      </w:r>
      <w:r w:rsidR="00ED7856" w:rsidRPr="00BE6E20">
        <w:rPr>
          <w:lang w:val="fr-BE"/>
        </w:rPr>
        <w:t>e des circonstances</w:t>
      </w:r>
      <w:r w:rsidRPr="00BE6E20">
        <w:rPr>
          <w:lang w:val="fr-BE"/>
        </w:rPr>
        <w:t xml:space="preserve"> suivant</w:t>
      </w:r>
      <w:r w:rsidR="00ED7856" w:rsidRPr="00BE6E20">
        <w:rPr>
          <w:lang w:val="fr-BE"/>
        </w:rPr>
        <w:t>e</w:t>
      </w:r>
      <w:r w:rsidRPr="00BE6E20">
        <w:rPr>
          <w:lang w:val="fr-BE"/>
        </w:rPr>
        <w:t>s :</w:t>
      </w:r>
    </w:p>
    <w:p w14:paraId="51404116" w14:textId="4457785B" w:rsidR="0096665D" w:rsidRPr="00BE6E20" w:rsidRDefault="0096665D" w:rsidP="00402922">
      <w:pPr>
        <w:pStyle w:val="Paragraphedeliste"/>
        <w:numPr>
          <w:ilvl w:val="1"/>
          <w:numId w:val="18"/>
        </w:numPr>
        <w:rPr>
          <w:lang w:val="fr-BE"/>
        </w:rPr>
      </w:pPr>
      <w:r w:rsidRPr="00BE6E20">
        <w:rPr>
          <w:lang w:val="fr-BE"/>
        </w:rPr>
        <w:t>Le point de raccorde</w:t>
      </w:r>
      <w:r>
        <w:rPr>
          <w:lang w:val="fr-BE"/>
        </w:rPr>
        <w:t>men</w:t>
      </w:r>
      <w:r w:rsidRPr="00BE6E20">
        <w:rPr>
          <w:lang w:val="fr-BE"/>
        </w:rPr>
        <w:t>t ne remplit plus un des critères mentionnés au §1</w:t>
      </w:r>
      <w:r w:rsidR="004D4056">
        <w:rPr>
          <w:lang w:val="fr-BE"/>
        </w:rPr>
        <w:t> ;</w:t>
      </w:r>
    </w:p>
    <w:p w14:paraId="290DCA67" w14:textId="1A159D1B" w:rsidR="00ED7856" w:rsidRDefault="00ED7856" w:rsidP="00402922">
      <w:pPr>
        <w:pStyle w:val="Paragraphedeliste"/>
        <w:numPr>
          <w:ilvl w:val="1"/>
          <w:numId w:val="18"/>
        </w:numPr>
        <w:rPr>
          <w:lang w:val="fr-BE"/>
        </w:rPr>
      </w:pPr>
      <w:r w:rsidRPr="00BE6E20">
        <w:rPr>
          <w:lang w:val="fr-BE"/>
        </w:rPr>
        <w:t>Le contrat de raccordement est révisé d’une manière telle que la quali</w:t>
      </w:r>
      <w:r>
        <w:rPr>
          <w:lang w:val="fr-BE"/>
        </w:rPr>
        <w:t>fication antérieure n’est plus cohérente avec le contrat révisé</w:t>
      </w:r>
      <w:r w:rsidR="004D4056">
        <w:rPr>
          <w:lang w:val="fr-BE"/>
        </w:rPr>
        <w:t> ;</w:t>
      </w:r>
    </w:p>
    <w:p w14:paraId="111A89FE" w14:textId="77777777" w:rsidR="00291A2D" w:rsidRDefault="00291A2D" w:rsidP="00402922">
      <w:pPr>
        <w:pStyle w:val="Paragraphedeliste"/>
        <w:numPr>
          <w:ilvl w:val="1"/>
          <w:numId w:val="18"/>
        </w:numPr>
        <w:rPr>
          <w:lang w:val="fr-BE"/>
        </w:rPr>
      </w:pPr>
      <w:r>
        <w:rPr>
          <w:lang w:val="fr-BE"/>
        </w:rPr>
        <w:t xml:space="preserve">En cas de modification de la réglementation en vigueur en matière de flexibilité, qui </w:t>
      </w:r>
      <w:r w:rsidR="00ED7856">
        <w:rPr>
          <w:lang w:val="fr-BE"/>
        </w:rPr>
        <w:t>nécessiterait une</w:t>
      </w:r>
      <w:r>
        <w:rPr>
          <w:lang w:val="fr-BE"/>
        </w:rPr>
        <w:t xml:space="preserve"> révision</w:t>
      </w:r>
      <w:r w:rsidR="00ED7856">
        <w:rPr>
          <w:lang w:val="fr-BE"/>
        </w:rPr>
        <w:t xml:space="preserve"> importante</w:t>
      </w:r>
      <w:r>
        <w:rPr>
          <w:lang w:val="fr-BE"/>
        </w:rPr>
        <w:t xml:space="preserve"> de la procédure décrite dans le présent document.</w:t>
      </w:r>
    </w:p>
    <w:p w14:paraId="088909DD" w14:textId="77777777" w:rsidR="00B30021" w:rsidRPr="0047005A" w:rsidRDefault="00B30021" w:rsidP="00ED7856">
      <w:pPr>
        <w:rPr>
          <w:lang w:val="fr-BE"/>
        </w:rPr>
      </w:pPr>
    </w:p>
    <w:p w14:paraId="0C4C25C0" w14:textId="77777777" w:rsidR="006032A6" w:rsidRPr="00CC1A41" w:rsidRDefault="00ED7856" w:rsidP="0047005A">
      <w:pPr>
        <w:ind w:left="360"/>
        <w:rPr>
          <w:rFonts w:eastAsia="Times New Roman"/>
          <w:bCs/>
          <w:iCs/>
          <w:szCs w:val="24"/>
          <w:lang w:val="fr-BE" w:eastAsia="nl-NL"/>
        </w:rPr>
      </w:pPr>
      <w:r w:rsidRPr="00CC1A41">
        <w:rPr>
          <w:rFonts w:eastAsia="Times New Roman"/>
          <w:bCs/>
          <w:iCs/>
          <w:szCs w:val="24"/>
          <w:lang w:val="fr-BE" w:eastAsia="nl-NL"/>
        </w:rPr>
        <w:t xml:space="preserve">Le tableau suivant traduit les principes a) à </w:t>
      </w:r>
      <w:r w:rsidR="00911AB3" w:rsidRPr="00CC1A41">
        <w:rPr>
          <w:rFonts w:eastAsia="Times New Roman"/>
          <w:bCs/>
          <w:iCs/>
          <w:szCs w:val="24"/>
          <w:lang w:val="fr-BE" w:eastAsia="nl-NL"/>
        </w:rPr>
        <w:t>f</w:t>
      </w:r>
      <w:r w:rsidRPr="00CC1A41">
        <w:rPr>
          <w:rFonts w:eastAsia="Times New Roman"/>
          <w:bCs/>
          <w:iCs/>
          <w:szCs w:val="24"/>
          <w:lang w:val="fr-BE" w:eastAsia="nl-NL"/>
        </w:rPr>
        <w:t>) ci-dessus sous forme de 4 scénarios</w:t>
      </w:r>
      <w:r w:rsidR="00636F69" w:rsidRPr="00CC1A41">
        <w:rPr>
          <w:rFonts w:eastAsia="Times New Roman"/>
          <w:bCs/>
          <w:iCs/>
          <w:szCs w:val="24"/>
          <w:lang w:val="fr-BE" w:eastAsia="nl-NL"/>
        </w:rPr>
        <w:t xml:space="preserve"> possibles </w:t>
      </w:r>
      <w:r w:rsidR="001E4255" w:rsidRPr="00CC1A41">
        <w:rPr>
          <w:rFonts w:eastAsia="Times New Roman"/>
          <w:bCs/>
          <w:iCs/>
          <w:szCs w:val="24"/>
          <w:lang w:val="fr-BE" w:eastAsia="nl-NL"/>
        </w:rPr>
        <w:t xml:space="preserve">suite à </w:t>
      </w:r>
      <w:r w:rsidR="00636F69" w:rsidRPr="00CC1A41">
        <w:rPr>
          <w:rFonts w:eastAsia="Times New Roman"/>
          <w:bCs/>
          <w:iCs/>
          <w:szCs w:val="24"/>
          <w:lang w:val="fr-BE" w:eastAsia="nl-NL"/>
        </w:rPr>
        <w:t>une étude NFS</w:t>
      </w:r>
      <w:r w:rsidRPr="00CC1A41">
        <w:rPr>
          <w:rFonts w:eastAsia="Times New Roman"/>
          <w:bCs/>
          <w:iCs/>
          <w:szCs w:val="24"/>
          <w:lang w:val="fr-BE" w:eastAsia="nl-NL"/>
        </w:rPr>
        <w:t xml:space="preserve">. </w:t>
      </w:r>
    </w:p>
    <w:p w14:paraId="6050EEA5" w14:textId="41B48956" w:rsidR="00ED7856" w:rsidRDefault="00ED7856" w:rsidP="00ED7856">
      <w:pPr>
        <w:rPr>
          <w:lang w:val="fr-BE"/>
        </w:rPr>
      </w:pPr>
    </w:p>
    <w:p w14:paraId="46058CB9" w14:textId="77777777" w:rsidR="001526B9" w:rsidRPr="00ED7856" w:rsidRDefault="001526B9" w:rsidP="00ED7856">
      <w:pPr>
        <w:rPr>
          <w:lang w:val="fr-BE"/>
        </w:rPr>
      </w:pPr>
    </w:p>
    <w:p w14:paraId="1BE01D1D" w14:textId="77777777" w:rsidR="001D3A15" w:rsidRDefault="001D3A15" w:rsidP="00384BE0">
      <w:pPr>
        <w:jc w:val="both"/>
        <w:rPr>
          <w:lang w:val="fr-BE"/>
        </w:rPr>
      </w:pP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55"/>
        <w:gridCol w:w="1154"/>
        <w:gridCol w:w="3737"/>
        <w:gridCol w:w="3739"/>
      </w:tblGrid>
      <w:tr w:rsidR="000505F5" w:rsidRPr="009735BD" w14:paraId="620F208B" w14:textId="77777777" w:rsidTr="00491EF2">
        <w:trPr>
          <w:trHeight w:val="621"/>
        </w:trPr>
        <w:tc>
          <w:tcPr>
            <w:tcW w:w="210" w:type="pct"/>
            <w:shd w:val="clear" w:color="auto" w:fill="FFFFFF" w:themeFill="background1"/>
            <w:vAlign w:val="center"/>
          </w:tcPr>
          <w:p w14:paraId="7FC9ADF5" w14:textId="77777777" w:rsidR="000505F5" w:rsidRDefault="000505F5" w:rsidP="005F404A">
            <w:pPr>
              <w:jc w:val="center"/>
              <w:rPr>
                <w:rFonts w:eastAsia="Times New Roman"/>
                <w:b/>
                <w:szCs w:val="20"/>
                <w:lang w:val="fr-BE" w:eastAsia="nl-BE"/>
              </w:rPr>
            </w:pPr>
          </w:p>
        </w:tc>
        <w:tc>
          <w:tcPr>
            <w:tcW w:w="565" w:type="pct"/>
            <w:vAlign w:val="center"/>
          </w:tcPr>
          <w:p w14:paraId="77239AB1" w14:textId="77777777" w:rsidR="000505F5" w:rsidRDefault="000505F5" w:rsidP="005F404A">
            <w:pPr>
              <w:jc w:val="center"/>
              <w:rPr>
                <w:rFonts w:eastAsia="Times New Roman"/>
                <w:b/>
                <w:szCs w:val="20"/>
                <w:lang w:val="fr-BE" w:eastAsia="nl-BE"/>
              </w:rPr>
            </w:pPr>
            <w:r>
              <w:rPr>
                <w:rFonts w:eastAsia="Times New Roman"/>
                <w:b/>
                <w:szCs w:val="20"/>
                <w:lang w:val="fr-BE" w:eastAsia="nl-BE"/>
              </w:rPr>
              <w:t xml:space="preserve">Couleur </w:t>
            </w:r>
          </w:p>
          <w:p w14:paraId="2BF280E6" w14:textId="77777777" w:rsidR="000505F5" w:rsidRPr="005D2A4E" w:rsidRDefault="00ED7856" w:rsidP="00ED7856">
            <w:pPr>
              <w:jc w:val="center"/>
              <w:rPr>
                <w:rFonts w:eastAsia="Times New Roman"/>
                <w:b/>
                <w:szCs w:val="20"/>
                <w:lang w:val="fr-BE" w:eastAsia="nl-BE"/>
              </w:rPr>
            </w:pPr>
            <w:r>
              <w:rPr>
                <w:rFonts w:eastAsia="Times New Roman"/>
                <w:b/>
                <w:szCs w:val="20"/>
                <w:lang w:val="fr-BE" w:eastAsia="nl-BE"/>
              </w:rPr>
              <w:t xml:space="preserve">initiale </w:t>
            </w:r>
            <w:r w:rsidR="000505F5">
              <w:rPr>
                <w:rFonts w:eastAsia="Times New Roman"/>
                <w:b/>
                <w:szCs w:val="20"/>
                <w:lang w:val="fr-BE" w:eastAsia="nl-BE"/>
              </w:rPr>
              <w:t>de la zone</w:t>
            </w:r>
            <w:r>
              <w:rPr>
                <w:rFonts w:eastAsia="Times New Roman"/>
                <w:b/>
                <w:szCs w:val="20"/>
                <w:lang w:val="fr-BE" w:eastAsia="nl-BE"/>
              </w:rPr>
              <w:t xml:space="preserve"> </w:t>
            </w:r>
          </w:p>
        </w:tc>
        <w:tc>
          <w:tcPr>
            <w:tcW w:w="565" w:type="pct"/>
            <w:shd w:val="clear" w:color="auto" w:fill="auto"/>
            <w:vAlign w:val="center"/>
          </w:tcPr>
          <w:p w14:paraId="1147B021" w14:textId="77777777" w:rsidR="000505F5" w:rsidRPr="005D2A4E" w:rsidRDefault="00ED7856" w:rsidP="00ED7856">
            <w:pPr>
              <w:jc w:val="center"/>
              <w:rPr>
                <w:rFonts w:eastAsia="Times New Roman"/>
                <w:b/>
                <w:szCs w:val="20"/>
                <w:lang w:val="fr-BE" w:eastAsia="nl-BE"/>
              </w:rPr>
            </w:pPr>
            <w:r>
              <w:rPr>
                <w:rFonts w:eastAsia="Times New Roman"/>
                <w:b/>
                <w:szCs w:val="20"/>
                <w:lang w:val="fr-BE" w:eastAsia="nl-BE"/>
              </w:rPr>
              <w:t>C</w:t>
            </w:r>
            <w:r w:rsidR="000505F5">
              <w:rPr>
                <w:rFonts w:eastAsia="Times New Roman"/>
                <w:b/>
                <w:szCs w:val="20"/>
                <w:lang w:val="fr-BE" w:eastAsia="nl-BE"/>
              </w:rPr>
              <w:t>ouleur de la zone</w:t>
            </w:r>
            <w:r>
              <w:rPr>
                <w:rFonts w:eastAsia="Times New Roman"/>
                <w:b/>
                <w:szCs w:val="20"/>
                <w:lang w:val="fr-BE" w:eastAsia="nl-BE"/>
              </w:rPr>
              <w:t xml:space="preserve"> après nouvelle étude NFS</w:t>
            </w:r>
          </w:p>
        </w:tc>
        <w:tc>
          <w:tcPr>
            <w:tcW w:w="1829" w:type="pct"/>
            <w:shd w:val="clear" w:color="auto" w:fill="auto"/>
            <w:vAlign w:val="center"/>
          </w:tcPr>
          <w:p w14:paraId="063C9ACA" w14:textId="77777777" w:rsidR="000505F5" w:rsidRPr="00384BE0" w:rsidRDefault="00B51AEC" w:rsidP="00B51AEC">
            <w:pPr>
              <w:jc w:val="center"/>
              <w:rPr>
                <w:rFonts w:eastAsia="Times New Roman"/>
                <w:b/>
                <w:szCs w:val="20"/>
                <w:lang w:val="fr-BE" w:eastAsia="nl-BE"/>
              </w:rPr>
            </w:pPr>
            <w:r>
              <w:rPr>
                <w:rFonts w:eastAsia="Times New Roman"/>
                <w:b/>
                <w:szCs w:val="20"/>
                <w:lang w:val="fr-BE" w:eastAsia="nl-BE"/>
              </w:rPr>
              <w:t>Conséquence de l’étude NFS</w:t>
            </w:r>
            <w:r w:rsidR="000505F5" w:rsidRPr="00384BE0">
              <w:rPr>
                <w:rFonts w:eastAsia="Times New Roman"/>
                <w:b/>
                <w:szCs w:val="20"/>
                <w:lang w:val="fr-BE" w:eastAsia="nl-BE"/>
              </w:rPr>
              <w:t xml:space="preserve"> sur les nouvelles demandes</w:t>
            </w:r>
            <w:r w:rsidR="000505F5">
              <w:rPr>
                <w:rFonts w:eastAsia="Times New Roman"/>
                <w:b/>
                <w:szCs w:val="20"/>
                <w:lang w:val="fr-BE" w:eastAsia="nl-BE"/>
              </w:rPr>
              <w:t xml:space="preserve"> </w:t>
            </w:r>
            <w:r>
              <w:rPr>
                <w:rFonts w:eastAsia="Times New Roman"/>
                <w:b/>
                <w:szCs w:val="20"/>
                <w:lang w:val="fr-BE" w:eastAsia="nl-BE"/>
              </w:rPr>
              <w:t>de qualification</w:t>
            </w:r>
          </w:p>
        </w:tc>
        <w:tc>
          <w:tcPr>
            <w:tcW w:w="1830" w:type="pct"/>
            <w:vAlign w:val="center"/>
          </w:tcPr>
          <w:p w14:paraId="5E0ADEB8" w14:textId="77777777" w:rsidR="000505F5" w:rsidRPr="00C33289" w:rsidRDefault="002238BF" w:rsidP="00B51AEC">
            <w:pPr>
              <w:jc w:val="center"/>
              <w:rPr>
                <w:rFonts w:eastAsia="Times New Roman"/>
                <w:b/>
                <w:szCs w:val="20"/>
                <w:lang w:val="fr-BE" w:eastAsia="nl-BE"/>
              </w:rPr>
            </w:pPr>
            <w:r>
              <w:rPr>
                <w:rFonts w:eastAsia="Times New Roman"/>
                <w:b/>
                <w:szCs w:val="20"/>
                <w:lang w:val="fr-BE" w:eastAsia="nl-BE"/>
              </w:rPr>
              <w:t xml:space="preserve">Conséquence </w:t>
            </w:r>
            <w:r w:rsidR="000505F5">
              <w:rPr>
                <w:rFonts w:eastAsia="Times New Roman"/>
                <w:b/>
                <w:szCs w:val="20"/>
                <w:lang w:val="fr-BE" w:eastAsia="nl-BE"/>
              </w:rPr>
              <w:t xml:space="preserve">sur les qualifications existantes </w:t>
            </w:r>
          </w:p>
        </w:tc>
      </w:tr>
      <w:tr w:rsidR="000505F5" w:rsidRPr="009735BD" w14:paraId="4E59E9E5" w14:textId="77777777" w:rsidTr="00491EF2">
        <w:trPr>
          <w:trHeight w:val="585"/>
        </w:trPr>
        <w:tc>
          <w:tcPr>
            <w:tcW w:w="210" w:type="pct"/>
            <w:tcBorders>
              <w:bottom w:val="single" w:sz="4" w:space="0" w:color="auto"/>
            </w:tcBorders>
            <w:shd w:val="clear" w:color="auto" w:fill="FFFFFF" w:themeFill="background1"/>
            <w:vAlign w:val="center"/>
          </w:tcPr>
          <w:p w14:paraId="79605D51" w14:textId="77777777" w:rsidR="000505F5" w:rsidRPr="00B45C93" w:rsidRDefault="000505F5" w:rsidP="00CE165F">
            <w:pPr>
              <w:jc w:val="center"/>
              <w:rPr>
                <w:rFonts w:eastAsia="Times New Roman"/>
                <w:b/>
                <w:sz w:val="16"/>
                <w:szCs w:val="16"/>
                <w:lang w:val="fr-BE" w:eastAsia="nl-BE"/>
              </w:rPr>
            </w:pPr>
            <w:r w:rsidRPr="00B45C93">
              <w:rPr>
                <w:rFonts w:eastAsia="Times New Roman"/>
                <w:b/>
                <w:sz w:val="16"/>
                <w:szCs w:val="16"/>
                <w:lang w:val="fr-BE" w:eastAsia="nl-BE"/>
              </w:rPr>
              <w:t>1</w:t>
            </w:r>
          </w:p>
        </w:tc>
        <w:tc>
          <w:tcPr>
            <w:tcW w:w="565" w:type="pct"/>
            <w:tcBorders>
              <w:bottom w:val="single" w:sz="4" w:space="0" w:color="auto"/>
            </w:tcBorders>
            <w:shd w:val="clear" w:color="auto" w:fill="92D050"/>
            <w:vAlign w:val="center"/>
          </w:tcPr>
          <w:p w14:paraId="00E8F10E" w14:textId="77777777" w:rsidR="000505F5" w:rsidRPr="00B45C93" w:rsidRDefault="000505F5" w:rsidP="00CE165F">
            <w:pPr>
              <w:jc w:val="center"/>
              <w:rPr>
                <w:rFonts w:eastAsia="Times New Roman"/>
                <w:sz w:val="16"/>
                <w:szCs w:val="16"/>
                <w:lang w:val="fr-BE" w:eastAsia="nl-BE"/>
              </w:rPr>
            </w:pPr>
            <w:r w:rsidRPr="00B45C93">
              <w:rPr>
                <w:rFonts w:eastAsia="Times New Roman"/>
                <w:sz w:val="16"/>
                <w:szCs w:val="16"/>
                <w:lang w:val="fr-BE" w:eastAsia="nl-BE"/>
              </w:rPr>
              <w:t>VERT</w:t>
            </w:r>
          </w:p>
        </w:tc>
        <w:tc>
          <w:tcPr>
            <w:tcW w:w="565" w:type="pct"/>
            <w:shd w:val="clear" w:color="auto" w:fill="92D050"/>
            <w:vAlign w:val="center"/>
          </w:tcPr>
          <w:p w14:paraId="037446AF" w14:textId="77777777" w:rsidR="000505F5" w:rsidRPr="00B45C93" w:rsidRDefault="000505F5" w:rsidP="00CE165F">
            <w:pPr>
              <w:jc w:val="center"/>
              <w:rPr>
                <w:rFonts w:eastAsia="Times New Roman"/>
                <w:sz w:val="16"/>
                <w:szCs w:val="16"/>
                <w:lang w:val="fr-BE" w:eastAsia="nl-BE"/>
              </w:rPr>
            </w:pPr>
            <w:r w:rsidRPr="00B45C93">
              <w:rPr>
                <w:rFonts w:eastAsia="Times New Roman"/>
                <w:sz w:val="16"/>
                <w:szCs w:val="16"/>
                <w:lang w:val="fr-BE" w:eastAsia="nl-BE"/>
              </w:rPr>
              <w:t>VERT</w:t>
            </w:r>
          </w:p>
        </w:tc>
        <w:tc>
          <w:tcPr>
            <w:tcW w:w="1829" w:type="pct"/>
            <w:shd w:val="clear" w:color="auto" w:fill="auto"/>
            <w:vAlign w:val="center"/>
          </w:tcPr>
          <w:p w14:paraId="1EC85B94" w14:textId="77777777" w:rsidR="000505F5" w:rsidRPr="00B45C93" w:rsidRDefault="000505F5" w:rsidP="00293A1E">
            <w:pPr>
              <w:rPr>
                <w:rFonts w:eastAsia="Times New Roman"/>
                <w:sz w:val="16"/>
                <w:szCs w:val="16"/>
                <w:lang w:val="fr-BE" w:eastAsia="nl-BE"/>
              </w:rPr>
            </w:pPr>
            <w:r w:rsidRPr="00B45C93">
              <w:rPr>
                <w:rFonts w:eastAsia="Times New Roman"/>
                <w:sz w:val="16"/>
                <w:szCs w:val="16"/>
                <w:lang w:val="fr-BE" w:eastAsia="nl-BE"/>
              </w:rPr>
              <w:t xml:space="preserve">Qualification pour l’entièreté du volume demandé. </w:t>
            </w:r>
          </w:p>
          <w:p w14:paraId="076DFDFD" w14:textId="77777777" w:rsidR="000505F5" w:rsidRPr="00B45C93" w:rsidRDefault="000505F5" w:rsidP="00B908B3">
            <w:pPr>
              <w:rPr>
                <w:rFonts w:eastAsia="Times New Roman"/>
                <w:sz w:val="16"/>
                <w:szCs w:val="16"/>
                <w:lang w:val="fr-BE" w:eastAsia="nl-BE"/>
              </w:rPr>
            </w:pPr>
            <w:r w:rsidRPr="00B45C93">
              <w:rPr>
                <w:rFonts w:eastAsia="Times New Roman"/>
                <w:sz w:val="16"/>
                <w:szCs w:val="16"/>
                <w:lang w:val="fr-BE" w:eastAsia="nl-BE"/>
              </w:rPr>
              <w:t>Validité à durée indéterminée.</w:t>
            </w:r>
          </w:p>
        </w:tc>
        <w:tc>
          <w:tcPr>
            <w:tcW w:w="1830" w:type="pct"/>
            <w:vAlign w:val="center"/>
          </w:tcPr>
          <w:p w14:paraId="21B59676" w14:textId="77777777" w:rsidR="000505F5" w:rsidRPr="00B45C93" w:rsidRDefault="00B51AEC" w:rsidP="00CE165F">
            <w:pPr>
              <w:rPr>
                <w:rFonts w:eastAsia="Times New Roman"/>
                <w:sz w:val="16"/>
                <w:szCs w:val="16"/>
                <w:lang w:val="fr-BE" w:eastAsia="nl-BE"/>
              </w:rPr>
            </w:pPr>
            <w:r>
              <w:rPr>
                <w:rFonts w:eastAsia="Times New Roman"/>
                <w:sz w:val="16"/>
                <w:szCs w:val="16"/>
                <w:lang w:val="fr-BE" w:eastAsia="nl-BE"/>
              </w:rPr>
              <w:t>Les qualifications existantes restent valides pour une durée indéterminée</w:t>
            </w:r>
          </w:p>
        </w:tc>
      </w:tr>
      <w:tr w:rsidR="000505F5" w:rsidRPr="009735BD" w14:paraId="539E2B59" w14:textId="77777777" w:rsidTr="00491EF2">
        <w:trPr>
          <w:trHeight w:val="585"/>
        </w:trPr>
        <w:tc>
          <w:tcPr>
            <w:tcW w:w="210" w:type="pct"/>
            <w:tcBorders>
              <w:bottom w:val="single" w:sz="4" w:space="0" w:color="auto"/>
            </w:tcBorders>
            <w:shd w:val="clear" w:color="auto" w:fill="FFFFFF" w:themeFill="background1"/>
            <w:vAlign w:val="center"/>
          </w:tcPr>
          <w:p w14:paraId="6A6EE126" w14:textId="77777777" w:rsidR="000505F5" w:rsidRPr="00B45C93" w:rsidRDefault="000505F5" w:rsidP="005F404A">
            <w:pPr>
              <w:jc w:val="center"/>
              <w:rPr>
                <w:rFonts w:eastAsia="Times New Roman"/>
                <w:b/>
                <w:sz w:val="16"/>
                <w:szCs w:val="16"/>
                <w:lang w:val="fr-BE" w:eastAsia="nl-BE"/>
              </w:rPr>
            </w:pPr>
            <w:r w:rsidRPr="00B45C93">
              <w:rPr>
                <w:rFonts w:eastAsia="Times New Roman"/>
                <w:b/>
                <w:sz w:val="16"/>
                <w:szCs w:val="16"/>
                <w:lang w:val="fr-BE" w:eastAsia="nl-BE"/>
              </w:rPr>
              <w:t>2</w:t>
            </w:r>
          </w:p>
        </w:tc>
        <w:tc>
          <w:tcPr>
            <w:tcW w:w="565" w:type="pct"/>
            <w:tcBorders>
              <w:bottom w:val="single" w:sz="4" w:space="0" w:color="auto"/>
            </w:tcBorders>
            <w:shd w:val="clear" w:color="auto" w:fill="FF0000"/>
            <w:vAlign w:val="center"/>
          </w:tcPr>
          <w:p w14:paraId="3AC066FE" w14:textId="77777777" w:rsidR="000505F5" w:rsidRPr="00B45C93" w:rsidRDefault="000505F5" w:rsidP="005F404A">
            <w:pPr>
              <w:jc w:val="center"/>
              <w:rPr>
                <w:rFonts w:eastAsia="Times New Roman"/>
                <w:color w:val="FF0000"/>
                <w:sz w:val="16"/>
                <w:szCs w:val="16"/>
                <w:lang w:val="fr-BE" w:eastAsia="nl-BE"/>
              </w:rPr>
            </w:pPr>
            <w:r w:rsidRPr="00B45C93">
              <w:rPr>
                <w:rFonts w:eastAsia="Times New Roman"/>
                <w:color w:val="FFFFFF"/>
                <w:sz w:val="16"/>
                <w:szCs w:val="16"/>
                <w:lang w:val="fr-BE" w:eastAsia="nl-BE"/>
              </w:rPr>
              <w:t>ROUGE</w:t>
            </w:r>
          </w:p>
        </w:tc>
        <w:tc>
          <w:tcPr>
            <w:tcW w:w="565" w:type="pct"/>
            <w:shd w:val="clear" w:color="auto" w:fill="92D050"/>
            <w:vAlign w:val="center"/>
          </w:tcPr>
          <w:p w14:paraId="023BDF3E" w14:textId="77777777" w:rsidR="000505F5" w:rsidRPr="00B45C93" w:rsidRDefault="000505F5" w:rsidP="005D2A4E">
            <w:pPr>
              <w:jc w:val="center"/>
              <w:rPr>
                <w:rFonts w:eastAsia="Times New Roman"/>
                <w:sz w:val="16"/>
                <w:szCs w:val="16"/>
                <w:lang w:val="fr-BE" w:eastAsia="nl-BE"/>
              </w:rPr>
            </w:pPr>
            <w:r w:rsidRPr="00B45C93">
              <w:rPr>
                <w:rFonts w:eastAsia="Times New Roman"/>
                <w:sz w:val="16"/>
                <w:szCs w:val="16"/>
                <w:lang w:val="fr-BE" w:eastAsia="nl-BE"/>
              </w:rPr>
              <w:t>VERT</w:t>
            </w:r>
          </w:p>
        </w:tc>
        <w:tc>
          <w:tcPr>
            <w:tcW w:w="1829" w:type="pct"/>
            <w:shd w:val="clear" w:color="auto" w:fill="auto"/>
            <w:vAlign w:val="center"/>
          </w:tcPr>
          <w:p w14:paraId="4DEFED25" w14:textId="77777777" w:rsidR="000505F5" w:rsidRPr="00B45C93" w:rsidRDefault="000505F5" w:rsidP="00293A1E">
            <w:pPr>
              <w:rPr>
                <w:rFonts w:eastAsia="Times New Roman"/>
                <w:sz w:val="16"/>
                <w:szCs w:val="16"/>
                <w:lang w:val="fr-BE" w:eastAsia="nl-BE"/>
              </w:rPr>
            </w:pPr>
            <w:r w:rsidRPr="00B45C93">
              <w:rPr>
                <w:rFonts w:eastAsia="Times New Roman"/>
                <w:sz w:val="16"/>
                <w:szCs w:val="16"/>
                <w:lang w:val="fr-BE" w:eastAsia="nl-BE"/>
              </w:rPr>
              <w:t xml:space="preserve">Qualification pour l’entièreté du volume demandé. </w:t>
            </w:r>
          </w:p>
          <w:p w14:paraId="086970F3" w14:textId="77777777" w:rsidR="000505F5" w:rsidRPr="00B45C93" w:rsidRDefault="000505F5" w:rsidP="00B908B3">
            <w:pPr>
              <w:rPr>
                <w:rFonts w:eastAsia="Times New Roman"/>
                <w:sz w:val="16"/>
                <w:szCs w:val="16"/>
                <w:lang w:val="fr-BE" w:eastAsia="nl-BE"/>
              </w:rPr>
            </w:pPr>
            <w:r w:rsidRPr="00B45C93">
              <w:rPr>
                <w:rFonts w:eastAsia="Times New Roman"/>
                <w:sz w:val="16"/>
                <w:szCs w:val="16"/>
                <w:lang w:val="fr-BE" w:eastAsia="nl-BE"/>
              </w:rPr>
              <w:t>Validité à durée indéterminée.</w:t>
            </w:r>
          </w:p>
        </w:tc>
        <w:tc>
          <w:tcPr>
            <w:tcW w:w="1830" w:type="pct"/>
            <w:vAlign w:val="center"/>
          </w:tcPr>
          <w:p w14:paraId="501ECFDA" w14:textId="77777777" w:rsidR="000505F5" w:rsidRPr="00B45C93" w:rsidRDefault="000505F5" w:rsidP="008E7EA4">
            <w:pPr>
              <w:rPr>
                <w:sz w:val="16"/>
                <w:szCs w:val="16"/>
                <w:lang w:val="fr-BE" w:eastAsia="nl-BE"/>
              </w:rPr>
            </w:pPr>
            <w:r w:rsidRPr="00B45C93">
              <w:rPr>
                <w:sz w:val="16"/>
                <w:szCs w:val="16"/>
                <w:lang w:val="fr-BE" w:eastAsia="nl-BE"/>
              </w:rPr>
              <w:t xml:space="preserve">Levée des contraintes pour les points de raccordement déjà qualifiés. Qualification pour l’entièreté du volume demandé. </w:t>
            </w:r>
          </w:p>
          <w:p w14:paraId="4918B32A" w14:textId="77777777" w:rsidR="000505F5" w:rsidRPr="00B45C93" w:rsidRDefault="000505F5" w:rsidP="008E7EA4">
            <w:pPr>
              <w:rPr>
                <w:sz w:val="16"/>
                <w:szCs w:val="16"/>
                <w:lang w:val="fr-BE" w:eastAsia="nl-BE"/>
              </w:rPr>
            </w:pPr>
            <w:r w:rsidRPr="00B45C93">
              <w:rPr>
                <w:sz w:val="16"/>
                <w:szCs w:val="16"/>
                <w:lang w:val="fr-BE" w:eastAsia="nl-BE"/>
              </w:rPr>
              <w:t>Validité à durée indéterminée.</w:t>
            </w:r>
          </w:p>
        </w:tc>
      </w:tr>
      <w:tr w:rsidR="000505F5" w:rsidRPr="009735BD" w14:paraId="07966C61" w14:textId="77777777" w:rsidTr="00FF5863">
        <w:trPr>
          <w:trHeight w:val="631"/>
        </w:trPr>
        <w:tc>
          <w:tcPr>
            <w:tcW w:w="210" w:type="pct"/>
            <w:shd w:val="clear" w:color="auto" w:fill="FFFFFF" w:themeFill="background1"/>
            <w:vAlign w:val="center"/>
          </w:tcPr>
          <w:p w14:paraId="75F1CE0B" w14:textId="77777777" w:rsidR="000505F5" w:rsidRPr="00B45C93" w:rsidRDefault="000505F5" w:rsidP="005F404A">
            <w:pPr>
              <w:jc w:val="center"/>
              <w:rPr>
                <w:rFonts w:eastAsia="Times New Roman"/>
                <w:b/>
                <w:sz w:val="16"/>
                <w:szCs w:val="16"/>
                <w:lang w:val="fr-BE" w:eastAsia="nl-BE"/>
              </w:rPr>
            </w:pPr>
            <w:r w:rsidRPr="00B45C93">
              <w:rPr>
                <w:rFonts w:eastAsia="Times New Roman"/>
                <w:b/>
                <w:sz w:val="16"/>
                <w:szCs w:val="16"/>
                <w:lang w:val="fr-BE" w:eastAsia="nl-BE"/>
              </w:rPr>
              <w:t>3</w:t>
            </w:r>
          </w:p>
        </w:tc>
        <w:tc>
          <w:tcPr>
            <w:tcW w:w="565" w:type="pct"/>
            <w:tcBorders>
              <w:bottom w:val="single" w:sz="4" w:space="0" w:color="auto"/>
            </w:tcBorders>
            <w:shd w:val="clear" w:color="auto" w:fill="92D050"/>
            <w:vAlign w:val="center"/>
          </w:tcPr>
          <w:p w14:paraId="587A7E98" w14:textId="77777777" w:rsidR="000505F5" w:rsidRPr="00B45C93" w:rsidRDefault="000505F5" w:rsidP="005F404A">
            <w:pPr>
              <w:jc w:val="center"/>
              <w:rPr>
                <w:rFonts w:eastAsia="Times New Roman"/>
                <w:color w:val="FFFFFF"/>
                <w:sz w:val="16"/>
                <w:szCs w:val="16"/>
                <w:lang w:val="fr-BE" w:eastAsia="nl-BE"/>
              </w:rPr>
            </w:pPr>
            <w:r w:rsidRPr="00B45C93">
              <w:rPr>
                <w:rFonts w:eastAsia="Times New Roman"/>
                <w:sz w:val="16"/>
                <w:szCs w:val="16"/>
                <w:lang w:val="fr-BE" w:eastAsia="nl-BE"/>
              </w:rPr>
              <w:t>VERT</w:t>
            </w:r>
          </w:p>
        </w:tc>
        <w:tc>
          <w:tcPr>
            <w:tcW w:w="565" w:type="pct"/>
            <w:tcBorders>
              <w:bottom w:val="single" w:sz="4" w:space="0" w:color="auto"/>
            </w:tcBorders>
            <w:shd w:val="clear" w:color="auto" w:fill="FF0000"/>
            <w:vAlign w:val="center"/>
          </w:tcPr>
          <w:p w14:paraId="6E577E22" w14:textId="77777777" w:rsidR="000505F5" w:rsidRPr="00B45C93" w:rsidRDefault="000505F5" w:rsidP="00CE165F">
            <w:pPr>
              <w:jc w:val="center"/>
              <w:rPr>
                <w:rFonts w:eastAsia="Times New Roman"/>
                <w:color w:val="FFFFFF"/>
                <w:sz w:val="16"/>
                <w:szCs w:val="16"/>
                <w:lang w:val="fr-BE" w:eastAsia="nl-BE"/>
              </w:rPr>
            </w:pPr>
            <w:r w:rsidRPr="00B45C93">
              <w:rPr>
                <w:rFonts w:eastAsia="Times New Roman"/>
                <w:color w:val="FFFFFF"/>
                <w:sz w:val="16"/>
                <w:szCs w:val="16"/>
                <w:lang w:val="fr-BE" w:eastAsia="nl-BE"/>
              </w:rPr>
              <w:t>ROUGE</w:t>
            </w:r>
          </w:p>
        </w:tc>
        <w:tc>
          <w:tcPr>
            <w:tcW w:w="1829" w:type="pct"/>
            <w:shd w:val="clear" w:color="auto" w:fill="auto"/>
            <w:vAlign w:val="center"/>
          </w:tcPr>
          <w:p w14:paraId="2D8ED44A" w14:textId="77777777" w:rsidR="000505F5" w:rsidRPr="00B45C93" w:rsidRDefault="00304E00" w:rsidP="008E7EA4">
            <w:pPr>
              <w:rPr>
                <w:sz w:val="16"/>
                <w:szCs w:val="16"/>
                <w:lang w:val="fr-BE" w:eastAsia="nl-BE"/>
              </w:rPr>
            </w:pPr>
            <w:r w:rsidRPr="00B45C93">
              <w:rPr>
                <w:sz w:val="16"/>
                <w:szCs w:val="16"/>
                <w:lang w:val="fr-BE" w:eastAsia="nl-BE"/>
              </w:rPr>
              <w:t xml:space="preserve">Qualification avec </w:t>
            </w:r>
            <w:r w:rsidR="00C2470E">
              <w:rPr>
                <w:sz w:val="16"/>
                <w:szCs w:val="16"/>
                <w:lang w:val="fr-BE" w:eastAsia="nl-BE"/>
              </w:rPr>
              <w:t>mention</w:t>
            </w:r>
            <w:r w:rsidR="00C2470E" w:rsidRPr="00B45C93">
              <w:rPr>
                <w:sz w:val="16"/>
                <w:szCs w:val="16"/>
                <w:lang w:val="fr-BE" w:eastAsia="nl-BE"/>
              </w:rPr>
              <w:t xml:space="preserve"> </w:t>
            </w:r>
            <w:r w:rsidRPr="00B45C93">
              <w:rPr>
                <w:sz w:val="16"/>
                <w:szCs w:val="16"/>
                <w:lang w:val="fr-BE" w:eastAsia="nl-BE"/>
              </w:rPr>
              <w:t xml:space="preserve">des contraintes en volume et/ou en temps pour l’activation de la flexibilité et/ou la récupération de l’énergie. </w:t>
            </w:r>
            <w:r w:rsidR="00BE6E20">
              <w:rPr>
                <w:sz w:val="16"/>
                <w:szCs w:val="16"/>
                <w:lang w:val="fr-BE" w:eastAsia="nl-BE"/>
              </w:rPr>
              <w:t xml:space="preserve">Si la contrainte est liée au </w:t>
            </w:r>
            <w:r w:rsidR="00B51AEC">
              <w:rPr>
                <w:sz w:val="16"/>
                <w:szCs w:val="16"/>
                <w:lang w:val="fr-BE" w:eastAsia="nl-BE"/>
              </w:rPr>
              <w:t>volume de flexibilité disponible</w:t>
            </w:r>
            <w:r w:rsidR="00BE6E20">
              <w:rPr>
                <w:sz w:val="16"/>
                <w:szCs w:val="16"/>
                <w:lang w:val="fr-BE" w:eastAsia="nl-BE"/>
              </w:rPr>
              <w:t>, celui-ci</w:t>
            </w:r>
            <w:r w:rsidR="00B51AEC">
              <w:rPr>
                <w:sz w:val="16"/>
                <w:szCs w:val="16"/>
                <w:lang w:val="fr-BE" w:eastAsia="nl-BE"/>
              </w:rPr>
              <w:t xml:space="preserve"> est réparti entre les nouvelles demandes suivant le principe </w:t>
            </w:r>
            <w:proofErr w:type="spellStart"/>
            <w:r w:rsidR="00B51AEC">
              <w:rPr>
                <w:sz w:val="16"/>
                <w:szCs w:val="16"/>
                <w:lang w:val="fr-BE" w:eastAsia="nl-BE"/>
              </w:rPr>
              <w:t>advanced</w:t>
            </w:r>
            <w:proofErr w:type="spellEnd"/>
            <w:r w:rsidR="00B51AEC">
              <w:rPr>
                <w:sz w:val="16"/>
                <w:szCs w:val="16"/>
                <w:lang w:val="fr-BE" w:eastAsia="nl-BE"/>
              </w:rPr>
              <w:t xml:space="preserve"> prorata</w:t>
            </w:r>
            <w:r w:rsidR="009207B3">
              <w:rPr>
                <w:sz w:val="16"/>
                <w:szCs w:val="16"/>
                <w:lang w:val="fr-BE" w:eastAsia="nl-BE"/>
              </w:rPr>
              <w:t xml:space="preserve">, </w:t>
            </w:r>
            <w:r w:rsidR="00B51AEC">
              <w:rPr>
                <w:sz w:val="16"/>
                <w:szCs w:val="16"/>
                <w:lang w:val="fr-BE" w:eastAsia="nl-BE"/>
              </w:rPr>
              <w:t xml:space="preserve"> </w:t>
            </w:r>
          </w:p>
          <w:p w14:paraId="5B72F120" w14:textId="77777777" w:rsidR="000505F5" w:rsidRPr="00B45C93" w:rsidRDefault="000505F5" w:rsidP="008E7EA4">
            <w:pPr>
              <w:rPr>
                <w:sz w:val="16"/>
                <w:szCs w:val="16"/>
                <w:lang w:val="fr-BE" w:eastAsia="nl-BE"/>
              </w:rPr>
            </w:pPr>
          </w:p>
        </w:tc>
        <w:tc>
          <w:tcPr>
            <w:tcW w:w="1830" w:type="pct"/>
            <w:vAlign w:val="center"/>
          </w:tcPr>
          <w:p w14:paraId="63993516" w14:textId="1DE26BFC" w:rsidR="00B51AEC" w:rsidRPr="00B45C93" w:rsidRDefault="000505F5" w:rsidP="00F22CBF">
            <w:pPr>
              <w:jc w:val="both"/>
              <w:rPr>
                <w:sz w:val="16"/>
                <w:szCs w:val="16"/>
                <w:lang w:val="fr-BE"/>
              </w:rPr>
            </w:pPr>
            <w:r w:rsidRPr="00B45C93">
              <w:rPr>
                <w:rFonts w:eastAsia="Times New Roman"/>
                <w:sz w:val="16"/>
                <w:szCs w:val="16"/>
                <w:lang w:val="fr-BE" w:eastAsia="nl-BE"/>
              </w:rPr>
              <w:t>Information du changement de couleur à l’ensemble des URD qualifiés présents dans la zone</w:t>
            </w:r>
            <w:r w:rsidRPr="00B45C93">
              <w:rPr>
                <w:sz w:val="16"/>
                <w:szCs w:val="16"/>
                <w:lang w:val="fr-BE"/>
              </w:rPr>
              <w:t> : la qualification reçue antérieurement reste valable 12 mois à dater du 1</w:t>
            </w:r>
            <w:r w:rsidRPr="00B45C93">
              <w:rPr>
                <w:sz w:val="16"/>
                <w:szCs w:val="16"/>
                <w:vertAlign w:val="superscript"/>
                <w:lang w:val="fr-BE"/>
              </w:rPr>
              <w:t>er</w:t>
            </w:r>
            <w:r w:rsidRPr="00B45C93">
              <w:rPr>
                <w:sz w:val="16"/>
                <w:szCs w:val="16"/>
                <w:lang w:val="fr-BE"/>
              </w:rPr>
              <w:t xml:space="preserve"> jour du mois suivant le constat.</w:t>
            </w:r>
            <w:r w:rsidR="006532CD">
              <w:rPr>
                <w:sz w:val="16"/>
                <w:szCs w:val="16"/>
                <w:lang w:val="fr-BE"/>
              </w:rPr>
              <w:t xml:space="preserve"> </w:t>
            </w:r>
          </w:p>
        </w:tc>
      </w:tr>
      <w:tr w:rsidR="00AB652E" w:rsidRPr="009735BD" w14:paraId="59B8AE7A" w14:textId="77777777" w:rsidTr="00FF5863">
        <w:trPr>
          <w:trHeight w:val="941"/>
        </w:trPr>
        <w:tc>
          <w:tcPr>
            <w:tcW w:w="210" w:type="pct"/>
            <w:shd w:val="clear" w:color="auto" w:fill="FFFFFF" w:themeFill="background1"/>
            <w:vAlign w:val="center"/>
          </w:tcPr>
          <w:p w14:paraId="30C8817B" w14:textId="77777777" w:rsidR="00AB652E" w:rsidRDefault="007616D0" w:rsidP="005D2A4E">
            <w:pPr>
              <w:jc w:val="center"/>
              <w:rPr>
                <w:rFonts w:eastAsia="Times New Roman"/>
                <w:b/>
                <w:sz w:val="16"/>
                <w:szCs w:val="16"/>
                <w:lang w:val="fr-BE" w:eastAsia="nl-BE"/>
              </w:rPr>
            </w:pPr>
            <w:r>
              <w:rPr>
                <w:rFonts w:eastAsia="Times New Roman"/>
                <w:b/>
                <w:sz w:val="16"/>
                <w:szCs w:val="16"/>
                <w:lang w:val="fr-BE" w:eastAsia="nl-BE"/>
              </w:rPr>
              <w:t>4</w:t>
            </w:r>
          </w:p>
        </w:tc>
        <w:tc>
          <w:tcPr>
            <w:tcW w:w="565" w:type="pct"/>
            <w:shd w:val="clear" w:color="auto" w:fill="FF0000"/>
            <w:vAlign w:val="center"/>
          </w:tcPr>
          <w:p w14:paraId="171C2706" w14:textId="77777777" w:rsidR="00AB652E" w:rsidRPr="00B45C93" w:rsidRDefault="007616D0" w:rsidP="005D2A4E">
            <w:pPr>
              <w:jc w:val="center"/>
              <w:rPr>
                <w:rFonts w:eastAsia="Times New Roman"/>
                <w:color w:val="FFFFFF"/>
                <w:sz w:val="16"/>
                <w:szCs w:val="16"/>
                <w:lang w:val="fr-BE" w:eastAsia="nl-BE"/>
              </w:rPr>
            </w:pPr>
            <w:r>
              <w:rPr>
                <w:rFonts w:eastAsia="Times New Roman"/>
                <w:color w:val="FFFFFF"/>
                <w:sz w:val="16"/>
                <w:szCs w:val="16"/>
                <w:lang w:val="fr-BE" w:eastAsia="nl-BE"/>
              </w:rPr>
              <w:t>ROUGE</w:t>
            </w:r>
          </w:p>
        </w:tc>
        <w:tc>
          <w:tcPr>
            <w:tcW w:w="565" w:type="pct"/>
            <w:shd w:val="clear" w:color="auto" w:fill="FF0000"/>
            <w:vAlign w:val="center"/>
          </w:tcPr>
          <w:p w14:paraId="2E11D4C4" w14:textId="77777777" w:rsidR="00AB652E" w:rsidRPr="00B45C93" w:rsidRDefault="007616D0" w:rsidP="00024BAE">
            <w:pPr>
              <w:jc w:val="center"/>
              <w:rPr>
                <w:rFonts w:eastAsia="Times New Roman"/>
                <w:color w:val="FFFFFF"/>
                <w:sz w:val="16"/>
                <w:szCs w:val="16"/>
                <w:lang w:val="fr-BE" w:eastAsia="nl-BE"/>
              </w:rPr>
            </w:pPr>
            <w:r>
              <w:rPr>
                <w:rFonts w:eastAsia="Times New Roman"/>
                <w:color w:val="FFFFFF"/>
                <w:sz w:val="16"/>
                <w:szCs w:val="16"/>
                <w:lang w:val="fr-BE" w:eastAsia="nl-BE"/>
              </w:rPr>
              <w:t>ROUGE</w:t>
            </w:r>
          </w:p>
        </w:tc>
        <w:tc>
          <w:tcPr>
            <w:tcW w:w="1829" w:type="pct"/>
            <w:shd w:val="clear" w:color="auto" w:fill="auto"/>
            <w:vAlign w:val="center"/>
          </w:tcPr>
          <w:p w14:paraId="7D1C36E5" w14:textId="764AE57B" w:rsidR="00AB652E" w:rsidRPr="00DC1BB6" w:rsidDel="009D3337" w:rsidRDefault="00EA77E9" w:rsidP="00EA77E9">
            <w:pPr>
              <w:rPr>
                <w:sz w:val="16"/>
                <w:szCs w:val="16"/>
                <w:lang w:val="fr-BE" w:eastAsia="nl-BE"/>
              </w:rPr>
            </w:pPr>
            <w:r w:rsidRPr="00B45C93">
              <w:rPr>
                <w:sz w:val="16"/>
                <w:szCs w:val="16"/>
                <w:lang w:val="fr-BE" w:eastAsia="nl-BE"/>
              </w:rPr>
              <w:t xml:space="preserve">Qualification avec </w:t>
            </w:r>
            <w:r>
              <w:rPr>
                <w:sz w:val="16"/>
                <w:szCs w:val="16"/>
                <w:lang w:val="fr-BE" w:eastAsia="nl-BE"/>
              </w:rPr>
              <w:t>mention</w:t>
            </w:r>
            <w:r w:rsidRPr="00B45C93">
              <w:rPr>
                <w:sz w:val="16"/>
                <w:szCs w:val="16"/>
                <w:lang w:val="fr-BE" w:eastAsia="nl-BE"/>
              </w:rPr>
              <w:t xml:space="preserve"> des contraintes en volume et/ou en temps pour l’activation de la flexibilité et/ou la récupération de l’énergie. </w:t>
            </w:r>
            <w:r w:rsidR="007616D0" w:rsidRPr="00DC1BB6">
              <w:rPr>
                <w:sz w:val="16"/>
                <w:szCs w:val="16"/>
                <w:lang w:val="fr-BE" w:eastAsia="nl-BE"/>
              </w:rPr>
              <w:t>Si les contraintes concernent le volume de flexibilité, il n’y pas de volume de flexibilité disponible</w:t>
            </w:r>
            <w:r>
              <w:rPr>
                <w:sz w:val="16"/>
                <w:szCs w:val="16"/>
                <w:lang w:val="fr-BE" w:eastAsia="nl-BE"/>
              </w:rPr>
              <w:t xml:space="preserve"> (du moins pendant certaines périodes)</w:t>
            </w:r>
            <w:r w:rsidR="007616D0" w:rsidRPr="00DC1BB6">
              <w:rPr>
                <w:sz w:val="16"/>
                <w:szCs w:val="16"/>
                <w:lang w:val="fr-BE" w:eastAsia="nl-BE"/>
              </w:rPr>
              <w:t xml:space="preserve"> avant </w:t>
            </w:r>
            <w:r w:rsidR="00F22CBF" w:rsidRPr="00DC1BB6">
              <w:rPr>
                <w:sz w:val="16"/>
                <w:szCs w:val="16"/>
                <w:lang w:val="fr-BE" w:eastAsia="nl-BE"/>
              </w:rPr>
              <w:t xml:space="preserve">la prochaine </w:t>
            </w:r>
            <w:r w:rsidR="007616D0" w:rsidRPr="00DC1BB6">
              <w:rPr>
                <w:sz w:val="16"/>
                <w:szCs w:val="16"/>
                <w:lang w:val="fr-BE" w:eastAsia="nl-BE"/>
              </w:rPr>
              <w:t>date</w:t>
            </w:r>
            <w:r w:rsidR="00F22CBF" w:rsidRPr="00DC1BB6">
              <w:rPr>
                <w:sz w:val="16"/>
                <w:szCs w:val="16"/>
                <w:lang w:val="fr-BE" w:eastAsia="nl-BE"/>
              </w:rPr>
              <w:t>-pivot</w:t>
            </w:r>
            <w:r w:rsidR="007616D0" w:rsidRPr="00DC1BB6">
              <w:rPr>
                <w:sz w:val="16"/>
                <w:szCs w:val="16"/>
                <w:lang w:val="fr-BE" w:eastAsia="nl-BE"/>
              </w:rPr>
              <w:t xml:space="preserve"> de la zone rouge.</w:t>
            </w:r>
          </w:p>
        </w:tc>
        <w:tc>
          <w:tcPr>
            <w:tcW w:w="1830" w:type="pct"/>
            <w:vAlign w:val="center"/>
          </w:tcPr>
          <w:p w14:paraId="3E72EB46" w14:textId="32529B17" w:rsidR="00AB652E" w:rsidRPr="00DC1BB6" w:rsidRDefault="007616D0" w:rsidP="00DC1BB6">
            <w:pPr>
              <w:rPr>
                <w:rFonts w:eastAsia="Times New Roman"/>
                <w:sz w:val="16"/>
                <w:szCs w:val="16"/>
                <w:lang w:val="fr-BE" w:eastAsia="nl-BE"/>
              </w:rPr>
            </w:pPr>
            <w:r w:rsidRPr="00DC1BB6">
              <w:rPr>
                <w:rFonts w:eastAsia="Times New Roman"/>
                <w:sz w:val="16"/>
                <w:szCs w:val="16"/>
                <w:lang w:val="fr-BE" w:eastAsia="nl-BE"/>
              </w:rPr>
              <w:t>Aucun impact jusqu’à</w:t>
            </w:r>
            <w:r w:rsidRPr="00DC1BB6">
              <w:rPr>
                <w:sz w:val="16"/>
                <w:szCs w:val="16"/>
                <w:lang w:val="fr-BE" w:eastAsia="nl-BE"/>
              </w:rPr>
              <w:t xml:space="preserve"> </w:t>
            </w:r>
            <w:r w:rsidR="00F22CBF" w:rsidRPr="00DC1BB6">
              <w:rPr>
                <w:sz w:val="16"/>
                <w:szCs w:val="16"/>
                <w:lang w:val="fr-BE" w:eastAsia="nl-BE"/>
              </w:rPr>
              <w:t>la prochaine</w:t>
            </w:r>
            <w:r w:rsidR="00DC1BB6" w:rsidRPr="00DC1BB6">
              <w:rPr>
                <w:sz w:val="16"/>
                <w:szCs w:val="16"/>
                <w:lang w:val="fr-BE" w:eastAsia="nl-BE"/>
              </w:rPr>
              <w:t xml:space="preserve"> </w:t>
            </w:r>
            <w:r w:rsidRPr="00DC1BB6">
              <w:rPr>
                <w:sz w:val="16"/>
                <w:szCs w:val="16"/>
                <w:lang w:val="fr-BE" w:eastAsia="nl-BE"/>
              </w:rPr>
              <w:t>date</w:t>
            </w:r>
            <w:r w:rsidR="00F22CBF" w:rsidRPr="00DC1BB6">
              <w:rPr>
                <w:sz w:val="16"/>
                <w:szCs w:val="16"/>
                <w:lang w:val="fr-BE" w:eastAsia="nl-BE"/>
              </w:rPr>
              <w:t>-pivot</w:t>
            </w:r>
            <w:r w:rsidRPr="00DC1BB6">
              <w:rPr>
                <w:sz w:val="16"/>
                <w:szCs w:val="16"/>
                <w:lang w:val="fr-BE" w:eastAsia="nl-BE"/>
              </w:rPr>
              <w:t xml:space="preserve"> de la zone rouge.  A cette date</w:t>
            </w:r>
            <w:r w:rsidR="00255F43" w:rsidRPr="00DC1BB6">
              <w:rPr>
                <w:sz w:val="16"/>
                <w:szCs w:val="16"/>
                <w:lang w:val="fr-BE" w:eastAsia="nl-BE"/>
              </w:rPr>
              <w:t xml:space="preserve"> et tous les ans</w:t>
            </w:r>
            <w:r w:rsidR="00F22CBF" w:rsidRPr="00DC1BB6">
              <w:rPr>
                <w:sz w:val="16"/>
                <w:szCs w:val="16"/>
                <w:lang w:val="fr-BE" w:eastAsia="nl-BE"/>
              </w:rPr>
              <w:t xml:space="preserve"> à la même date</w:t>
            </w:r>
            <w:r w:rsidRPr="00DC1BB6">
              <w:rPr>
                <w:sz w:val="16"/>
                <w:szCs w:val="16"/>
                <w:lang w:val="fr-BE" w:eastAsia="nl-BE"/>
              </w:rPr>
              <w:t xml:space="preserve">, si la contrainte est liée au volume de flexibilité, </w:t>
            </w:r>
            <w:r w:rsidR="001B570E" w:rsidRPr="00DC1BB6">
              <w:rPr>
                <w:sz w:val="16"/>
                <w:szCs w:val="16"/>
                <w:lang w:val="fr-BE" w:eastAsia="nl-BE"/>
              </w:rPr>
              <w:t>elle</w:t>
            </w:r>
            <w:r w:rsidRPr="00DC1BB6">
              <w:rPr>
                <w:sz w:val="16"/>
                <w:szCs w:val="16"/>
                <w:lang w:val="fr-BE" w:eastAsia="nl-BE"/>
              </w:rPr>
              <w:t xml:space="preserve"> est réparti</w:t>
            </w:r>
            <w:r w:rsidR="001B570E" w:rsidRPr="00DC1BB6">
              <w:rPr>
                <w:sz w:val="16"/>
                <w:szCs w:val="16"/>
                <w:lang w:val="fr-BE" w:eastAsia="nl-BE"/>
              </w:rPr>
              <w:t>e</w:t>
            </w:r>
            <w:r w:rsidRPr="00DC1BB6">
              <w:rPr>
                <w:sz w:val="16"/>
                <w:szCs w:val="16"/>
                <w:lang w:val="fr-BE" w:eastAsia="nl-BE"/>
              </w:rPr>
              <w:t xml:space="preserve"> selon le principe </w:t>
            </w:r>
            <w:proofErr w:type="spellStart"/>
            <w:r w:rsidRPr="00DC1BB6">
              <w:rPr>
                <w:sz w:val="16"/>
                <w:szCs w:val="16"/>
                <w:lang w:val="fr-BE" w:eastAsia="nl-BE"/>
              </w:rPr>
              <w:t>advanced</w:t>
            </w:r>
            <w:proofErr w:type="spellEnd"/>
            <w:r w:rsidRPr="00DC1BB6">
              <w:rPr>
                <w:sz w:val="16"/>
                <w:szCs w:val="16"/>
                <w:lang w:val="fr-BE" w:eastAsia="nl-BE"/>
              </w:rPr>
              <w:t xml:space="preserve"> prorata sur l’ensemble des points </w:t>
            </w:r>
            <w:r w:rsidR="00F950B1" w:rsidRPr="00DC1BB6">
              <w:rPr>
                <w:sz w:val="16"/>
                <w:szCs w:val="16"/>
                <w:lang w:val="fr-BE" w:eastAsia="nl-BE"/>
              </w:rPr>
              <w:t xml:space="preserve">de raccordement </w:t>
            </w:r>
            <w:r w:rsidRPr="00DC1BB6">
              <w:rPr>
                <w:sz w:val="16"/>
                <w:szCs w:val="16"/>
                <w:lang w:val="fr-BE" w:eastAsia="nl-BE"/>
              </w:rPr>
              <w:t xml:space="preserve">flexibles </w:t>
            </w:r>
            <w:r w:rsidR="00F950B1" w:rsidRPr="00DC1BB6">
              <w:rPr>
                <w:sz w:val="16"/>
                <w:szCs w:val="16"/>
                <w:lang w:val="fr-BE" w:eastAsia="nl-BE"/>
              </w:rPr>
              <w:t xml:space="preserve">(déjà qualifiés ou </w:t>
            </w:r>
            <w:r w:rsidRPr="00DC1BB6">
              <w:rPr>
                <w:sz w:val="16"/>
                <w:szCs w:val="16"/>
                <w:lang w:val="fr-BE" w:eastAsia="nl-BE"/>
              </w:rPr>
              <w:t xml:space="preserve">ayant </w:t>
            </w:r>
            <w:proofErr w:type="spellStart"/>
            <w:r w:rsidR="00F950B1" w:rsidRPr="00DC1BB6">
              <w:rPr>
                <w:sz w:val="16"/>
                <w:szCs w:val="16"/>
                <w:lang w:val="fr-BE" w:eastAsia="nl-BE"/>
              </w:rPr>
              <w:t>ayant</w:t>
            </w:r>
            <w:proofErr w:type="spellEnd"/>
            <w:r w:rsidR="00F950B1" w:rsidRPr="00DC1BB6">
              <w:rPr>
                <w:sz w:val="16"/>
                <w:szCs w:val="16"/>
                <w:lang w:val="fr-BE" w:eastAsia="nl-BE"/>
              </w:rPr>
              <w:t xml:space="preserve"> introduit une demande de qualification dans</w:t>
            </w:r>
            <w:r w:rsidRPr="00DC1BB6">
              <w:rPr>
                <w:sz w:val="16"/>
                <w:szCs w:val="16"/>
                <w:lang w:val="fr-BE" w:eastAsia="nl-BE"/>
              </w:rPr>
              <w:t xml:space="preserve"> la zone</w:t>
            </w:r>
            <w:r w:rsidR="00F950B1" w:rsidRPr="00DC1BB6">
              <w:rPr>
                <w:sz w:val="16"/>
                <w:szCs w:val="16"/>
                <w:lang w:val="fr-BE" w:eastAsia="nl-BE"/>
              </w:rPr>
              <w:t>)</w:t>
            </w:r>
            <w:r w:rsidRPr="00DC1BB6">
              <w:rPr>
                <w:sz w:val="16"/>
                <w:szCs w:val="16"/>
                <w:lang w:val="fr-BE" w:eastAsia="nl-BE"/>
              </w:rPr>
              <w:t>.</w:t>
            </w:r>
            <w:r w:rsidR="00391A89" w:rsidRPr="00391A89">
              <w:rPr>
                <w:sz w:val="16"/>
                <w:szCs w:val="16"/>
                <w:highlight w:val="yellow"/>
                <w:lang w:val="fr-BE"/>
              </w:rPr>
              <w:t xml:space="preserve"> </w:t>
            </w:r>
          </w:p>
        </w:tc>
      </w:tr>
    </w:tbl>
    <w:p w14:paraId="1D0A5431" w14:textId="77777777" w:rsidR="00851AE2" w:rsidRDefault="00851AE2" w:rsidP="00C1795E">
      <w:pPr>
        <w:jc w:val="both"/>
        <w:rPr>
          <w:lang w:val="fr-BE"/>
        </w:rPr>
      </w:pPr>
    </w:p>
    <w:p w14:paraId="304C956C" w14:textId="177D8103" w:rsidR="00255F43" w:rsidRDefault="000B2D51" w:rsidP="000B2D51">
      <w:pPr>
        <w:ind w:left="426"/>
        <w:jc w:val="both"/>
        <w:rPr>
          <w:lang w:val="fr-BE"/>
        </w:rPr>
      </w:pPr>
      <w:r>
        <w:rPr>
          <w:lang w:val="fr-BE"/>
        </w:rPr>
        <w:t>Dans le tableau ci-dessus</w:t>
      </w:r>
      <w:r w:rsidR="00151720">
        <w:rPr>
          <w:lang w:val="fr-BE"/>
        </w:rPr>
        <w:t xml:space="preserve"> les indications ‘</w:t>
      </w:r>
      <w:r w:rsidR="00CC78E1">
        <w:rPr>
          <w:lang w:val="fr-BE"/>
        </w:rPr>
        <w:t>ROUGE</w:t>
      </w:r>
      <w:r w:rsidR="00151720">
        <w:rPr>
          <w:lang w:val="fr-BE"/>
        </w:rPr>
        <w:t xml:space="preserve">’ </w:t>
      </w:r>
      <w:r w:rsidR="000D28EE">
        <w:rPr>
          <w:lang w:val="fr-BE"/>
        </w:rPr>
        <w:t xml:space="preserve">peuvent être ‘UP’, </w:t>
      </w:r>
      <w:r w:rsidR="004D2AF6">
        <w:rPr>
          <w:lang w:val="fr-BE"/>
        </w:rPr>
        <w:t xml:space="preserve">‘DOWN’ ou ‘UP &amp; DOWN’, cf. tableau sous le point </w:t>
      </w:r>
      <w:r w:rsidR="00EC356A">
        <w:rPr>
          <w:lang w:val="fr-BE"/>
        </w:rPr>
        <w:t>4</w:t>
      </w:r>
      <w:r w:rsidR="004D2AF6">
        <w:rPr>
          <w:lang w:val="fr-BE"/>
        </w:rPr>
        <w:t>.2.</w:t>
      </w:r>
    </w:p>
    <w:p w14:paraId="050D1DDD" w14:textId="77777777" w:rsidR="0035473B" w:rsidRPr="007B7467" w:rsidRDefault="0035473B" w:rsidP="00690389">
      <w:pPr>
        <w:pStyle w:val="Titre2"/>
        <w:rPr>
          <w:lang w:val="fr-BE"/>
        </w:rPr>
      </w:pPr>
      <w:bookmarkStart w:id="142" w:name="_Toc65745142"/>
      <w:r w:rsidRPr="007B7467">
        <w:rPr>
          <w:lang w:val="fr-BE"/>
        </w:rPr>
        <w:t>Communication des résultats</w:t>
      </w:r>
      <w:bookmarkEnd w:id="142"/>
    </w:p>
    <w:p w14:paraId="633F61A7" w14:textId="77777777" w:rsidR="0035473B" w:rsidRDefault="0035473B" w:rsidP="00C5198B">
      <w:pPr>
        <w:ind w:left="12"/>
        <w:contextualSpacing/>
        <w:jc w:val="both"/>
        <w:rPr>
          <w:rFonts w:eastAsia="Times New Roman"/>
          <w:bCs/>
          <w:iCs/>
          <w:szCs w:val="24"/>
          <w:lang w:val="fr-FR" w:eastAsia="nl-NL"/>
        </w:rPr>
      </w:pPr>
    </w:p>
    <w:p w14:paraId="174EEA96" w14:textId="47D43341" w:rsidR="00391A89" w:rsidRDefault="00881B9D" w:rsidP="0047005A">
      <w:pPr>
        <w:ind w:left="360"/>
        <w:contextualSpacing/>
        <w:jc w:val="both"/>
        <w:rPr>
          <w:rFonts w:eastAsia="Times New Roman"/>
          <w:bCs/>
          <w:iCs/>
          <w:szCs w:val="24"/>
          <w:lang w:val="fr-BE" w:eastAsia="nl-NL"/>
        </w:rPr>
      </w:pPr>
      <w:r w:rsidRPr="00850772">
        <w:rPr>
          <w:rFonts w:eastAsia="Times New Roman"/>
          <w:bCs/>
          <w:iCs/>
          <w:szCs w:val="24"/>
          <w:lang w:val="fr-BE" w:eastAsia="nl-NL"/>
        </w:rPr>
        <w:t xml:space="preserve">Dans les plus brefs délais, et en tout cas dans un délai de trente jours ouvrables après la réception d’une demande </w:t>
      </w:r>
      <w:r>
        <w:rPr>
          <w:rFonts w:eastAsia="Times New Roman"/>
          <w:bCs/>
          <w:iCs/>
          <w:szCs w:val="24"/>
          <w:lang w:val="fr-BE" w:eastAsia="nl-NL"/>
        </w:rPr>
        <w:t xml:space="preserve">NFS </w:t>
      </w:r>
      <w:r w:rsidRPr="00850772">
        <w:rPr>
          <w:rFonts w:eastAsia="Times New Roman"/>
          <w:bCs/>
          <w:iCs/>
          <w:szCs w:val="24"/>
          <w:lang w:val="fr-BE" w:eastAsia="nl-NL"/>
        </w:rPr>
        <w:t>complète et d</w:t>
      </w:r>
      <w:r>
        <w:rPr>
          <w:rFonts w:eastAsia="Times New Roman"/>
          <w:bCs/>
          <w:iCs/>
          <w:szCs w:val="24"/>
          <w:lang w:val="fr-BE" w:eastAsia="nl-NL"/>
        </w:rPr>
        <w:t>e l’éventuel</w:t>
      </w:r>
      <w:r w:rsidRPr="00850772">
        <w:rPr>
          <w:rFonts w:eastAsia="Times New Roman"/>
          <w:bCs/>
          <w:iCs/>
          <w:szCs w:val="24"/>
          <w:lang w:val="fr-BE" w:eastAsia="nl-NL"/>
        </w:rPr>
        <w:t xml:space="preserve"> paiement de l’étude,</w:t>
      </w:r>
      <w:r>
        <w:rPr>
          <w:rFonts w:eastAsia="Times New Roman"/>
          <w:bCs/>
          <w:iCs/>
          <w:szCs w:val="24"/>
          <w:lang w:val="fr-BE" w:eastAsia="nl-NL"/>
        </w:rPr>
        <w:t xml:space="preserve"> </w:t>
      </w:r>
      <w:r w:rsidRPr="00850772">
        <w:rPr>
          <w:rFonts w:eastAsia="Times New Roman"/>
          <w:bCs/>
          <w:iCs/>
          <w:szCs w:val="24"/>
          <w:lang w:val="fr-BE" w:eastAsia="nl-NL"/>
        </w:rPr>
        <w:t xml:space="preserve">le </w:t>
      </w:r>
      <w:r w:rsidR="00EC356A">
        <w:rPr>
          <w:rFonts w:eastAsia="Times New Roman"/>
          <w:bCs/>
          <w:iCs/>
          <w:szCs w:val="24"/>
          <w:lang w:val="fr-BE" w:eastAsia="nl-NL"/>
        </w:rPr>
        <w:t xml:space="preserve">GRD </w:t>
      </w:r>
      <w:r w:rsidRPr="00850772">
        <w:rPr>
          <w:rFonts w:eastAsia="Times New Roman"/>
          <w:bCs/>
          <w:iCs/>
          <w:szCs w:val="24"/>
          <w:lang w:val="fr-BE" w:eastAsia="nl-NL"/>
        </w:rPr>
        <w:t xml:space="preserve">fournit au demandeur </w:t>
      </w:r>
      <w:r>
        <w:rPr>
          <w:rFonts w:eastAsia="Times New Roman"/>
          <w:bCs/>
          <w:iCs/>
          <w:szCs w:val="24"/>
          <w:lang w:val="fr-BE" w:eastAsia="nl-NL"/>
        </w:rPr>
        <w:t>le résultat</w:t>
      </w:r>
      <w:r w:rsidR="007B7467">
        <w:rPr>
          <w:rFonts w:eastAsia="Times New Roman"/>
          <w:bCs/>
          <w:iCs/>
          <w:szCs w:val="24"/>
          <w:lang w:val="fr-BE" w:eastAsia="nl-NL"/>
        </w:rPr>
        <w:t>.</w:t>
      </w:r>
    </w:p>
    <w:p w14:paraId="59755FB1" w14:textId="77777777" w:rsidR="00941603" w:rsidRPr="00B30021" w:rsidRDefault="00941603" w:rsidP="00402922">
      <w:pPr>
        <w:pStyle w:val="Titre1"/>
        <w:numPr>
          <w:ilvl w:val="0"/>
          <w:numId w:val="19"/>
        </w:numPr>
      </w:pPr>
      <w:bookmarkStart w:id="143" w:name="_Toc322359089"/>
      <w:bookmarkStart w:id="144" w:name="_Toc322359628"/>
      <w:bookmarkStart w:id="145" w:name="_Toc322359767"/>
      <w:bookmarkStart w:id="146" w:name="_Toc322359902"/>
      <w:bookmarkStart w:id="147" w:name="_Toc322360048"/>
      <w:bookmarkStart w:id="148" w:name="_Toc322360184"/>
      <w:bookmarkStart w:id="149" w:name="_Toc322360320"/>
      <w:bookmarkStart w:id="150" w:name="_Toc322360495"/>
      <w:bookmarkStart w:id="151" w:name="_Toc322360771"/>
      <w:bookmarkStart w:id="152" w:name="_Toc322378052"/>
      <w:bookmarkStart w:id="153" w:name="_Toc322378192"/>
      <w:bookmarkStart w:id="154" w:name="_Toc322380929"/>
      <w:bookmarkStart w:id="155" w:name="_Toc65745143"/>
      <w:bookmarkEnd w:id="137"/>
      <w:bookmarkEnd w:id="138"/>
      <w:bookmarkEnd w:id="143"/>
      <w:bookmarkEnd w:id="144"/>
      <w:bookmarkEnd w:id="145"/>
      <w:bookmarkEnd w:id="146"/>
      <w:bookmarkEnd w:id="147"/>
      <w:bookmarkEnd w:id="148"/>
      <w:bookmarkEnd w:id="149"/>
      <w:bookmarkEnd w:id="150"/>
      <w:bookmarkEnd w:id="151"/>
      <w:bookmarkEnd w:id="152"/>
      <w:bookmarkEnd w:id="153"/>
      <w:bookmarkEnd w:id="154"/>
      <w:proofErr w:type="spellStart"/>
      <w:r w:rsidRPr="00B30021">
        <w:t>Dispositions</w:t>
      </w:r>
      <w:proofErr w:type="spellEnd"/>
      <w:r w:rsidRPr="00B30021">
        <w:t xml:space="preserve"> </w:t>
      </w:r>
      <w:proofErr w:type="spellStart"/>
      <w:r w:rsidRPr="00B30021">
        <w:t>transitoires</w:t>
      </w:r>
      <w:bookmarkEnd w:id="155"/>
      <w:proofErr w:type="spellEnd"/>
    </w:p>
    <w:p w14:paraId="06E4DECC" w14:textId="77777777" w:rsidR="00941603" w:rsidRPr="004A47FE" w:rsidRDefault="00941603" w:rsidP="004A47FE">
      <w:pPr>
        <w:rPr>
          <w:lang w:val="fr-BE" w:eastAsia="nl-NL"/>
        </w:rPr>
      </w:pPr>
    </w:p>
    <w:p w14:paraId="1543F541" w14:textId="0048AE24" w:rsidR="00B91C63" w:rsidRDefault="00B91C63" w:rsidP="00A0728D">
      <w:pPr>
        <w:ind w:left="360"/>
        <w:contextualSpacing/>
        <w:jc w:val="both"/>
        <w:rPr>
          <w:lang w:val="fr-BE"/>
        </w:rPr>
      </w:pPr>
      <w:r>
        <w:rPr>
          <w:lang w:val="fr-BE"/>
        </w:rPr>
        <w:t xml:space="preserve">Le résultat de la qualification des points de raccordement en application d’une version antérieure de la présente spécification reste </w:t>
      </w:r>
      <w:r w:rsidRPr="00DC1BB6">
        <w:rPr>
          <w:lang w:val="fr-BE"/>
        </w:rPr>
        <w:t xml:space="preserve">inchangé </w:t>
      </w:r>
      <w:r w:rsidR="00F950B1" w:rsidRPr="00DC1BB6">
        <w:rPr>
          <w:lang w:val="fr-BE"/>
        </w:rPr>
        <w:t xml:space="preserve">et est valide </w:t>
      </w:r>
      <w:r w:rsidRPr="00DC1BB6">
        <w:rPr>
          <w:lang w:val="fr-BE"/>
        </w:rPr>
        <w:t>jusqu’au</w:t>
      </w:r>
      <w:r>
        <w:rPr>
          <w:lang w:val="fr-BE"/>
        </w:rPr>
        <w:t xml:space="preserve"> </w:t>
      </w:r>
      <w:r w:rsidR="001526B9">
        <w:rPr>
          <w:lang w:val="fr-BE"/>
        </w:rPr>
        <w:t>XX/XX/</w:t>
      </w:r>
      <w:r w:rsidR="000E3FDC">
        <w:rPr>
          <w:lang w:val="fr-BE"/>
        </w:rPr>
        <w:t>202X.</w:t>
      </w:r>
    </w:p>
    <w:p w14:paraId="6B247A7B" w14:textId="77777777" w:rsidR="00B91C63" w:rsidRDefault="00B91C63" w:rsidP="008672AB">
      <w:pPr>
        <w:contextualSpacing/>
        <w:jc w:val="both"/>
        <w:rPr>
          <w:lang w:val="fr-BE"/>
        </w:rPr>
      </w:pPr>
    </w:p>
    <w:p w14:paraId="7C4AA174" w14:textId="77777777" w:rsidR="00B07210" w:rsidRDefault="00B07210">
      <w:pPr>
        <w:rPr>
          <w:rFonts w:ascii="Cambria" w:hAnsi="Cambria"/>
          <w:b/>
          <w:spacing w:val="5"/>
          <w:kern w:val="28"/>
          <w:sz w:val="28"/>
          <w:szCs w:val="52"/>
          <w:lang w:val="fr-BE"/>
        </w:rPr>
      </w:pPr>
      <w:r>
        <w:rPr>
          <w:rFonts w:ascii="Cambria" w:hAnsi="Cambria"/>
          <w:b/>
          <w:spacing w:val="5"/>
          <w:kern w:val="28"/>
          <w:sz w:val="28"/>
          <w:szCs w:val="52"/>
          <w:lang w:val="fr-BE"/>
        </w:rPr>
        <w:br w:type="page"/>
      </w:r>
    </w:p>
    <w:p w14:paraId="5620C844" w14:textId="7F4D5AEA" w:rsidR="00FE5D52" w:rsidRDefault="00EB06BC" w:rsidP="006032A6">
      <w:pPr>
        <w:pStyle w:val="Titre1"/>
        <w:rPr>
          <w:kern w:val="28"/>
          <w:lang w:val="fr-BE"/>
        </w:rPr>
      </w:pPr>
      <w:bookmarkStart w:id="156" w:name="_Toc65745144"/>
      <w:r w:rsidRPr="00AA65BF">
        <w:rPr>
          <w:kern w:val="28"/>
          <w:lang w:val="fr-BE"/>
        </w:rPr>
        <w:lastRenderedPageBreak/>
        <w:t xml:space="preserve">Annexe </w:t>
      </w:r>
      <w:r w:rsidR="00A103E3" w:rsidRPr="00AA65BF">
        <w:rPr>
          <w:kern w:val="28"/>
          <w:lang w:val="fr-BE"/>
        </w:rPr>
        <w:t>1</w:t>
      </w:r>
      <w:r w:rsidRPr="00AA65BF">
        <w:rPr>
          <w:kern w:val="28"/>
          <w:lang w:val="fr-BE"/>
        </w:rPr>
        <w:t xml:space="preserve"> : </w:t>
      </w:r>
      <w:r w:rsidR="00FE5D52">
        <w:rPr>
          <w:kern w:val="28"/>
          <w:lang w:val="fr-BE"/>
        </w:rPr>
        <w:t>Contact GRD</w:t>
      </w:r>
      <w:bookmarkEnd w:id="156"/>
    </w:p>
    <w:p w14:paraId="55A5B9EB" w14:textId="77777777" w:rsidR="000E3FDC" w:rsidRPr="000E3FDC" w:rsidRDefault="000E3FDC" w:rsidP="000E3FDC">
      <w:pPr>
        <w:rPr>
          <w:lang w:val="fr-BE"/>
        </w:rPr>
      </w:pPr>
    </w:p>
    <w:tbl>
      <w:tblPr>
        <w:tblStyle w:val="Grilledutableau"/>
        <w:tblW w:w="0" w:type="auto"/>
        <w:tblLook w:val="04A0" w:firstRow="1" w:lastRow="0" w:firstColumn="1" w:lastColumn="0" w:noHBand="0" w:noVBand="1"/>
      </w:tblPr>
      <w:tblGrid>
        <w:gridCol w:w="4812"/>
        <w:gridCol w:w="4816"/>
      </w:tblGrid>
      <w:tr w:rsidR="00FE5D52" w14:paraId="5F4C43C2" w14:textId="77777777" w:rsidTr="00FE5D52">
        <w:tc>
          <w:tcPr>
            <w:tcW w:w="4889" w:type="dxa"/>
          </w:tcPr>
          <w:p w14:paraId="42AFAC8C" w14:textId="77777777" w:rsidR="00FE5D52" w:rsidRDefault="00FE5D52" w:rsidP="008A0D18">
            <w:pPr>
              <w:spacing w:after="200" w:line="276" w:lineRule="auto"/>
              <w:rPr>
                <w:rFonts w:ascii="Cambria" w:hAnsi="Cambria"/>
                <w:b/>
                <w:spacing w:val="5"/>
                <w:kern w:val="28"/>
                <w:sz w:val="28"/>
                <w:szCs w:val="52"/>
                <w:lang w:val="fr-BE"/>
              </w:rPr>
            </w:pPr>
            <w:r>
              <w:rPr>
                <w:rFonts w:ascii="Cambria" w:hAnsi="Cambria"/>
                <w:b/>
                <w:spacing w:val="5"/>
                <w:kern w:val="28"/>
                <w:sz w:val="28"/>
                <w:szCs w:val="52"/>
                <w:lang w:val="fr-BE"/>
              </w:rPr>
              <w:t>GRD</w:t>
            </w:r>
          </w:p>
        </w:tc>
        <w:tc>
          <w:tcPr>
            <w:tcW w:w="4889" w:type="dxa"/>
          </w:tcPr>
          <w:p w14:paraId="687B5A83" w14:textId="77777777" w:rsidR="00FE5D52" w:rsidRDefault="00FE5D52" w:rsidP="008A0D18">
            <w:pPr>
              <w:spacing w:after="200" w:line="276" w:lineRule="auto"/>
              <w:rPr>
                <w:rFonts w:ascii="Cambria" w:hAnsi="Cambria"/>
                <w:b/>
                <w:spacing w:val="5"/>
                <w:kern w:val="28"/>
                <w:sz w:val="28"/>
                <w:szCs w:val="52"/>
                <w:lang w:val="fr-BE"/>
              </w:rPr>
            </w:pPr>
            <w:r>
              <w:rPr>
                <w:rFonts w:ascii="Cambria" w:hAnsi="Cambria"/>
                <w:b/>
                <w:spacing w:val="5"/>
                <w:kern w:val="28"/>
                <w:sz w:val="28"/>
                <w:szCs w:val="52"/>
                <w:lang w:val="fr-BE"/>
              </w:rPr>
              <w:t>Email</w:t>
            </w:r>
          </w:p>
        </w:tc>
      </w:tr>
      <w:tr w:rsidR="00FE5D52" w14:paraId="26A76B2D" w14:textId="77777777" w:rsidTr="00FE5D52">
        <w:tc>
          <w:tcPr>
            <w:tcW w:w="4889" w:type="dxa"/>
          </w:tcPr>
          <w:p w14:paraId="0BD04019" w14:textId="77777777" w:rsidR="00FE5D52" w:rsidRDefault="00FE5D52" w:rsidP="008A0D18">
            <w:pPr>
              <w:spacing w:after="200" w:line="276" w:lineRule="auto"/>
              <w:rPr>
                <w:rFonts w:ascii="Cambria" w:hAnsi="Cambria"/>
                <w:b/>
                <w:spacing w:val="5"/>
                <w:kern w:val="28"/>
                <w:sz w:val="28"/>
                <w:szCs w:val="52"/>
                <w:lang w:val="fr-BE"/>
              </w:rPr>
            </w:pPr>
          </w:p>
        </w:tc>
        <w:tc>
          <w:tcPr>
            <w:tcW w:w="4889" w:type="dxa"/>
          </w:tcPr>
          <w:p w14:paraId="4F37B1A8" w14:textId="77777777" w:rsidR="00FE5D52" w:rsidRDefault="00FE5D52" w:rsidP="008A0D18">
            <w:pPr>
              <w:spacing w:after="200" w:line="276" w:lineRule="auto"/>
              <w:rPr>
                <w:rFonts w:ascii="Cambria" w:hAnsi="Cambria"/>
                <w:b/>
                <w:spacing w:val="5"/>
                <w:kern w:val="28"/>
                <w:sz w:val="28"/>
                <w:szCs w:val="52"/>
                <w:lang w:val="fr-BE"/>
              </w:rPr>
            </w:pPr>
          </w:p>
        </w:tc>
      </w:tr>
      <w:tr w:rsidR="00FE5D52" w14:paraId="677A8604" w14:textId="77777777" w:rsidTr="00FE5D52">
        <w:tc>
          <w:tcPr>
            <w:tcW w:w="4889" w:type="dxa"/>
          </w:tcPr>
          <w:p w14:paraId="7FC75B76" w14:textId="77777777" w:rsidR="00FE5D52" w:rsidRDefault="00FE5D52" w:rsidP="008A0D18">
            <w:pPr>
              <w:spacing w:after="200" w:line="276" w:lineRule="auto"/>
              <w:rPr>
                <w:rFonts w:ascii="Cambria" w:hAnsi="Cambria"/>
                <w:b/>
                <w:spacing w:val="5"/>
                <w:kern w:val="28"/>
                <w:sz w:val="28"/>
                <w:szCs w:val="52"/>
                <w:lang w:val="fr-BE"/>
              </w:rPr>
            </w:pPr>
          </w:p>
        </w:tc>
        <w:tc>
          <w:tcPr>
            <w:tcW w:w="4889" w:type="dxa"/>
          </w:tcPr>
          <w:p w14:paraId="1E0CADF6" w14:textId="77777777" w:rsidR="00FE5D52" w:rsidRDefault="00FE5D52" w:rsidP="008A0D18">
            <w:pPr>
              <w:spacing w:after="200" w:line="276" w:lineRule="auto"/>
              <w:rPr>
                <w:rFonts w:ascii="Cambria" w:hAnsi="Cambria"/>
                <w:b/>
                <w:spacing w:val="5"/>
                <w:kern w:val="28"/>
                <w:sz w:val="28"/>
                <w:szCs w:val="52"/>
                <w:lang w:val="fr-BE"/>
              </w:rPr>
            </w:pPr>
          </w:p>
        </w:tc>
      </w:tr>
      <w:tr w:rsidR="00FE5D52" w14:paraId="335FD90F" w14:textId="77777777" w:rsidTr="00FE5D52">
        <w:tc>
          <w:tcPr>
            <w:tcW w:w="4889" w:type="dxa"/>
          </w:tcPr>
          <w:p w14:paraId="62742483" w14:textId="77777777" w:rsidR="00FE5D52" w:rsidRDefault="00FE5D52" w:rsidP="008A0D18">
            <w:pPr>
              <w:spacing w:after="200" w:line="276" w:lineRule="auto"/>
              <w:rPr>
                <w:rFonts w:ascii="Cambria" w:hAnsi="Cambria"/>
                <w:b/>
                <w:spacing w:val="5"/>
                <w:kern w:val="28"/>
                <w:sz w:val="28"/>
                <w:szCs w:val="52"/>
                <w:lang w:val="fr-BE"/>
              </w:rPr>
            </w:pPr>
          </w:p>
        </w:tc>
        <w:tc>
          <w:tcPr>
            <w:tcW w:w="4889" w:type="dxa"/>
          </w:tcPr>
          <w:p w14:paraId="1CA9A65C" w14:textId="77777777" w:rsidR="00FE5D52" w:rsidRDefault="00FE5D52" w:rsidP="008A0D18">
            <w:pPr>
              <w:spacing w:after="200" w:line="276" w:lineRule="auto"/>
              <w:rPr>
                <w:rFonts w:ascii="Cambria" w:hAnsi="Cambria"/>
                <w:b/>
                <w:spacing w:val="5"/>
                <w:kern w:val="28"/>
                <w:sz w:val="28"/>
                <w:szCs w:val="52"/>
                <w:lang w:val="fr-BE"/>
              </w:rPr>
            </w:pPr>
          </w:p>
        </w:tc>
      </w:tr>
      <w:tr w:rsidR="00FE5D52" w14:paraId="20791891" w14:textId="77777777" w:rsidTr="00FE5D52">
        <w:tc>
          <w:tcPr>
            <w:tcW w:w="4889" w:type="dxa"/>
          </w:tcPr>
          <w:p w14:paraId="7F16F2C8" w14:textId="77777777" w:rsidR="00FE5D52" w:rsidRDefault="00FE5D52" w:rsidP="008A0D18">
            <w:pPr>
              <w:spacing w:after="200" w:line="276" w:lineRule="auto"/>
              <w:rPr>
                <w:rFonts w:ascii="Cambria" w:hAnsi="Cambria"/>
                <w:b/>
                <w:spacing w:val="5"/>
                <w:kern w:val="28"/>
                <w:sz w:val="28"/>
                <w:szCs w:val="52"/>
                <w:lang w:val="fr-BE"/>
              </w:rPr>
            </w:pPr>
          </w:p>
        </w:tc>
        <w:tc>
          <w:tcPr>
            <w:tcW w:w="4889" w:type="dxa"/>
          </w:tcPr>
          <w:p w14:paraId="2E6CD6CC" w14:textId="77777777" w:rsidR="00FE5D52" w:rsidRDefault="00FE5D52" w:rsidP="008A0D18">
            <w:pPr>
              <w:spacing w:after="200" w:line="276" w:lineRule="auto"/>
              <w:rPr>
                <w:rFonts w:ascii="Cambria" w:hAnsi="Cambria"/>
                <w:b/>
                <w:spacing w:val="5"/>
                <w:kern w:val="28"/>
                <w:sz w:val="28"/>
                <w:szCs w:val="52"/>
                <w:lang w:val="fr-BE"/>
              </w:rPr>
            </w:pPr>
          </w:p>
        </w:tc>
      </w:tr>
    </w:tbl>
    <w:p w14:paraId="60B03EF3" w14:textId="77777777" w:rsidR="00FE5D52" w:rsidRDefault="00FE5D52" w:rsidP="008A0D18">
      <w:pPr>
        <w:spacing w:after="200" w:line="276" w:lineRule="auto"/>
        <w:rPr>
          <w:rFonts w:ascii="Cambria" w:hAnsi="Cambria"/>
          <w:b/>
          <w:spacing w:val="5"/>
          <w:kern w:val="28"/>
          <w:sz w:val="28"/>
          <w:szCs w:val="52"/>
          <w:lang w:val="fr-BE"/>
        </w:rPr>
      </w:pPr>
    </w:p>
    <w:p w14:paraId="646BED08" w14:textId="77777777" w:rsidR="00DA6114" w:rsidRDefault="00FE5D52" w:rsidP="006032A6">
      <w:pPr>
        <w:pStyle w:val="Titre1"/>
        <w:rPr>
          <w:kern w:val="28"/>
          <w:lang w:val="fr-BE"/>
        </w:rPr>
      </w:pPr>
      <w:bookmarkStart w:id="157" w:name="_Toc65745145"/>
      <w:r>
        <w:rPr>
          <w:kern w:val="28"/>
          <w:lang w:val="fr-BE"/>
        </w:rPr>
        <w:t xml:space="preserve">Annexe 2 </w:t>
      </w:r>
      <w:r w:rsidR="00EB06BC" w:rsidRPr="00AA65BF">
        <w:rPr>
          <w:kern w:val="28"/>
          <w:lang w:val="fr-BE"/>
        </w:rPr>
        <w:t>Formulaire « Connecti</w:t>
      </w:r>
      <w:r>
        <w:rPr>
          <w:kern w:val="28"/>
          <w:lang w:val="fr-BE"/>
        </w:rPr>
        <w:t>o</w:t>
      </w:r>
      <w:r w:rsidR="00EB06BC" w:rsidRPr="00AA65BF">
        <w:rPr>
          <w:kern w:val="28"/>
          <w:lang w:val="fr-BE"/>
        </w:rPr>
        <w:t xml:space="preserve">n </w:t>
      </w:r>
      <w:proofErr w:type="spellStart"/>
      <w:r w:rsidR="00EB06BC" w:rsidRPr="00AA65BF">
        <w:rPr>
          <w:kern w:val="28"/>
          <w:lang w:val="fr-BE"/>
        </w:rPr>
        <w:t>Contract</w:t>
      </w:r>
      <w:proofErr w:type="spellEnd"/>
      <w:r w:rsidR="00EB06BC" w:rsidRPr="00AA65BF">
        <w:rPr>
          <w:kern w:val="28"/>
          <w:lang w:val="fr-BE"/>
        </w:rPr>
        <w:t xml:space="preserve"> Check »</w:t>
      </w:r>
      <w:bookmarkEnd w:id="157"/>
    </w:p>
    <w:p w14:paraId="1B71364F" w14:textId="77777777" w:rsidR="005D304D" w:rsidRPr="005D304D" w:rsidRDefault="005D304D" w:rsidP="005D304D">
      <w:pPr>
        <w:rPr>
          <w:lang w:val="fr-BE"/>
        </w:rPr>
      </w:pPr>
    </w:p>
    <w:p w14:paraId="613D257A" w14:textId="77777777" w:rsidR="00EB06BC" w:rsidRPr="00BC1714" w:rsidRDefault="00684ABB" w:rsidP="00402922">
      <w:pPr>
        <w:numPr>
          <w:ilvl w:val="0"/>
          <w:numId w:val="15"/>
        </w:numPr>
        <w:spacing w:after="200" w:line="276" w:lineRule="auto"/>
        <w:rPr>
          <w:rFonts w:cs="Arial"/>
          <w:b/>
          <w:spacing w:val="5"/>
          <w:kern w:val="28"/>
          <w:szCs w:val="20"/>
          <w:lang w:val="fr-BE"/>
        </w:rPr>
      </w:pPr>
      <w:r w:rsidRPr="00BC1714">
        <w:rPr>
          <w:rFonts w:cs="Arial"/>
          <w:b/>
          <w:spacing w:val="5"/>
          <w:kern w:val="28"/>
          <w:szCs w:val="20"/>
          <w:lang w:val="fr-BE"/>
        </w:rPr>
        <w:t>Objectif du document</w:t>
      </w:r>
    </w:p>
    <w:p w14:paraId="01D39CAE" w14:textId="77777777" w:rsidR="00502F07" w:rsidRPr="00BC1714" w:rsidRDefault="00684ABB" w:rsidP="00502F07">
      <w:pPr>
        <w:widowControl w:val="0"/>
        <w:tabs>
          <w:tab w:val="left" w:pos="284"/>
        </w:tabs>
        <w:ind w:left="284"/>
        <w:jc w:val="both"/>
        <w:rPr>
          <w:rFonts w:cs="Arial"/>
          <w:szCs w:val="20"/>
          <w:lang w:val="fr-BE"/>
        </w:rPr>
      </w:pPr>
      <w:r w:rsidRPr="00BC1714">
        <w:rPr>
          <w:rFonts w:cs="Arial"/>
          <w:spacing w:val="5"/>
          <w:kern w:val="28"/>
          <w:szCs w:val="20"/>
          <w:lang w:val="fr-BE"/>
        </w:rPr>
        <w:t xml:space="preserve">Ce document constitue un </w:t>
      </w:r>
      <w:r w:rsidR="002B5B93">
        <w:rPr>
          <w:rFonts w:cs="Arial"/>
          <w:spacing w:val="5"/>
          <w:kern w:val="28"/>
          <w:szCs w:val="20"/>
          <w:lang w:val="fr-BE"/>
        </w:rPr>
        <w:t>extrait</w:t>
      </w:r>
      <w:r w:rsidR="002B5B93" w:rsidRPr="00BC1714">
        <w:rPr>
          <w:rFonts w:cs="Arial"/>
          <w:spacing w:val="5"/>
          <w:kern w:val="28"/>
          <w:szCs w:val="20"/>
          <w:lang w:val="fr-BE"/>
        </w:rPr>
        <w:t xml:space="preserve"> </w:t>
      </w:r>
      <w:r w:rsidRPr="00BC1714">
        <w:rPr>
          <w:rFonts w:cs="Arial"/>
          <w:spacing w:val="5"/>
          <w:kern w:val="28"/>
          <w:szCs w:val="20"/>
          <w:lang w:val="fr-BE"/>
        </w:rPr>
        <w:t>du contrat de raccordement de l’utilisateur de réseau de distribution. En plus des informations administratives standards, il décrit les moyens de flexibilité qui peuvent être proposés par l’URD conformément au contrat de raccordement</w:t>
      </w:r>
      <w:r w:rsidR="009766B7" w:rsidRPr="00AD3FCB">
        <w:rPr>
          <w:rFonts w:cs="Arial"/>
          <w:spacing w:val="5"/>
          <w:kern w:val="28"/>
          <w:szCs w:val="20"/>
          <w:lang w:val="fr-BE"/>
        </w:rPr>
        <w:t>,</w:t>
      </w:r>
      <w:r w:rsidR="003A70CA" w:rsidRPr="00AD3FCB">
        <w:rPr>
          <w:rFonts w:cs="Arial"/>
          <w:spacing w:val="5"/>
          <w:kern w:val="28"/>
          <w:szCs w:val="20"/>
          <w:lang w:val="fr-BE"/>
        </w:rPr>
        <w:t xml:space="preserve"> et la présence d’éventuels sous-compteurs du GRD</w:t>
      </w:r>
      <w:r w:rsidR="00A910B7" w:rsidRPr="00AD3FCB">
        <w:rPr>
          <w:rFonts w:cs="Arial"/>
          <w:spacing w:val="5"/>
          <w:kern w:val="28"/>
          <w:szCs w:val="20"/>
          <w:lang w:val="fr-BE"/>
        </w:rPr>
        <w:t xml:space="preserve"> (voir document C8/2 de Synergrid)</w:t>
      </w:r>
      <w:r w:rsidRPr="00AD3FCB">
        <w:rPr>
          <w:rFonts w:cs="Arial"/>
          <w:spacing w:val="5"/>
          <w:kern w:val="28"/>
          <w:szCs w:val="20"/>
          <w:lang w:val="fr-BE"/>
        </w:rPr>
        <w:t>.</w:t>
      </w:r>
      <w:r w:rsidRPr="00BC1714">
        <w:rPr>
          <w:rFonts w:cs="Arial"/>
          <w:spacing w:val="5"/>
          <w:kern w:val="28"/>
          <w:szCs w:val="20"/>
          <w:lang w:val="fr-BE"/>
        </w:rPr>
        <w:t xml:space="preserve"> </w:t>
      </w:r>
      <w:r w:rsidR="00502F07" w:rsidRPr="00BC1714">
        <w:rPr>
          <w:rFonts w:cs="Arial"/>
          <w:spacing w:val="5"/>
          <w:kern w:val="28"/>
          <w:szCs w:val="20"/>
          <w:lang w:val="fr-BE"/>
        </w:rPr>
        <w:t xml:space="preserve">Ce </w:t>
      </w:r>
      <w:r w:rsidR="00A910B7">
        <w:rPr>
          <w:rFonts w:cs="Arial"/>
          <w:spacing w:val="5"/>
          <w:kern w:val="28"/>
          <w:szCs w:val="20"/>
          <w:lang w:val="fr-BE"/>
        </w:rPr>
        <w:t>formulaire</w:t>
      </w:r>
      <w:r w:rsidR="00A910B7" w:rsidRPr="00BC1714">
        <w:rPr>
          <w:rFonts w:cs="Arial"/>
          <w:spacing w:val="5"/>
          <w:kern w:val="28"/>
          <w:szCs w:val="20"/>
          <w:lang w:val="fr-BE"/>
        </w:rPr>
        <w:t xml:space="preserve"> </w:t>
      </w:r>
      <w:r w:rsidR="00502F07" w:rsidRPr="00BC1714">
        <w:rPr>
          <w:rFonts w:cs="Arial"/>
          <w:spacing w:val="5"/>
          <w:kern w:val="28"/>
          <w:szCs w:val="20"/>
          <w:lang w:val="fr-BE"/>
        </w:rPr>
        <w:t xml:space="preserve">indique également </w:t>
      </w:r>
      <w:r w:rsidR="00502F07" w:rsidRPr="00BC1714">
        <w:rPr>
          <w:rFonts w:cs="Arial"/>
          <w:szCs w:val="20"/>
          <w:lang w:val="fr-BE"/>
        </w:rPr>
        <w:t xml:space="preserve">les puissances maximales d’injection et/ou de prélèvement convenues dans le contrat de raccordement.  </w:t>
      </w:r>
    </w:p>
    <w:p w14:paraId="2E2E6D25" w14:textId="77777777" w:rsidR="00BC1714" w:rsidRPr="00BC1714" w:rsidRDefault="00BC1714" w:rsidP="00502F07">
      <w:pPr>
        <w:widowControl w:val="0"/>
        <w:tabs>
          <w:tab w:val="left" w:pos="284"/>
        </w:tabs>
        <w:ind w:left="284"/>
        <w:jc w:val="both"/>
        <w:rPr>
          <w:rFonts w:cs="Arial"/>
          <w:szCs w:val="20"/>
          <w:lang w:val="fr-BE"/>
        </w:rPr>
      </w:pPr>
    </w:p>
    <w:p w14:paraId="461DE52F" w14:textId="77777777" w:rsidR="00BC1714" w:rsidRPr="00BC1714" w:rsidRDefault="00BC1714" w:rsidP="00402922">
      <w:pPr>
        <w:widowControl w:val="0"/>
        <w:numPr>
          <w:ilvl w:val="0"/>
          <w:numId w:val="15"/>
        </w:numPr>
        <w:tabs>
          <w:tab w:val="left" w:pos="284"/>
        </w:tabs>
        <w:jc w:val="both"/>
        <w:rPr>
          <w:rFonts w:cs="Arial"/>
          <w:b/>
          <w:szCs w:val="20"/>
          <w:lang w:val="fr-BE"/>
        </w:rPr>
      </w:pPr>
      <w:r w:rsidRPr="00BC1714">
        <w:rPr>
          <w:rFonts w:cs="Arial"/>
          <w:b/>
          <w:szCs w:val="20"/>
          <w:lang w:val="fr-BE"/>
        </w:rPr>
        <w:t xml:space="preserve">Demande de CCC </w:t>
      </w:r>
    </w:p>
    <w:p w14:paraId="03EE0429" w14:textId="77777777" w:rsidR="00BC1714" w:rsidRPr="00BC1714" w:rsidRDefault="00BC1714" w:rsidP="00BC1714">
      <w:pPr>
        <w:widowControl w:val="0"/>
        <w:tabs>
          <w:tab w:val="left" w:pos="284"/>
        </w:tabs>
        <w:ind w:left="360"/>
        <w:jc w:val="both"/>
        <w:rPr>
          <w:rFonts w:cs="Arial"/>
          <w:szCs w:val="20"/>
          <w:lang w:val="fr-BE"/>
        </w:rPr>
      </w:pPr>
    </w:p>
    <w:p w14:paraId="5D224254" w14:textId="77777777" w:rsidR="00263002" w:rsidRDefault="00BC1714" w:rsidP="00263002">
      <w:pPr>
        <w:widowControl w:val="0"/>
        <w:tabs>
          <w:tab w:val="left" w:pos="284"/>
        </w:tabs>
        <w:ind w:left="360"/>
        <w:jc w:val="both"/>
        <w:rPr>
          <w:rFonts w:cs="Arial"/>
          <w:szCs w:val="20"/>
          <w:lang w:val="fr-BE"/>
        </w:rPr>
      </w:pPr>
      <w:r w:rsidRPr="00BC1714">
        <w:rPr>
          <w:rFonts w:cs="Arial"/>
          <w:szCs w:val="20"/>
          <w:lang w:val="fr-BE"/>
        </w:rPr>
        <w:t xml:space="preserve">Ce document est remis à l’Utilisateur de Réseau de Distribution qui en fait la demande auprès de son GRD. Cette demande peut être adressée à tout moment au GRD, éventuellement par l’intermédiaire du </w:t>
      </w:r>
      <w:r w:rsidR="00BD395D">
        <w:rPr>
          <w:rFonts w:cs="Arial"/>
          <w:szCs w:val="20"/>
          <w:lang w:val="fr-BE"/>
        </w:rPr>
        <w:t>FSP</w:t>
      </w:r>
      <w:r w:rsidRPr="00BC1714">
        <w:rPr>
          <w:rFonts w:cs="Arial"/>
          <w:szCs w:val="20"/>
          <w:lang w:val="fr-BE"/>
        </w:rPr>
        <w:t xml:space="preserve"> muni d’un mandat officiel de l’URD.</w:t>
      </w:r>
      <w:bookmarkStart w:id="158" w:name="_Toc387061632"/>
    </w:p>
    <w:p w14:paraId="06577B84" w14:textId="77777777" w:rsidR="00D43116" w:rsidRPr="003A70CA" w:rsidRDefault="00D43116" w:rsidP="00263002">
      <w:pPr>
        <w:widowControl w:val="0"/>
        <w:tabs>
          <w:tab w:val="left" w:pos="284"/>
        </w:tabs>
        <w:ind w:left="360"/>
        <w:jc w:val="both"/>
        <w:rPr>
          <w:rFonts w:cs="Arial"/>
          <w:strike/>
          <w:szCs w:val="20"/>
          <w:highlight w:val="yellow"/>
          <w:lang w:val="fr-BE"/>
        </w:rPr>
      </w:pPr>
    </w:p>
    <w:p w14:paraId="652A391D" w14:textId="77777777" w:rsidR="00D43116" w:rsidRDefault="00736604" w:rsidP="00263002">
      <w:pPr>
        <w:widowControl w:val="0"/>
        <w:tabs>
          <w:tab w:val="left" w:pos="284"/>
        </w:tabs>
        <w:ind w:left="360"/>
        <w:jc w:val="both"/>
        <w:rPr>
          <w:rFonts w:cs="Arial"/>
          <w:szCs w:val="20"/>
          <w:lang w:val="fr-BE"/>
        </w:rPr>
      </w:pPr>
      <w:r>
        <w:rPr>
          <w:rFonts w:cs="Arial"/>
          <w:szCs w:val="20"/>
          <w:lang w:val="fr-BE"/>
        </w:rPr>
        <w:t xml:space="preserve">Le </w:t>
      </w:r>
      <w:r w:rsidR="00D43116">
        <w:rPr>
          <w:rFonts w:cs="Arial"/>
          <w:szCs w:val="20"/>
          <w:lang w:val="fr-BE"/>
        </w:rPr>
        <w:t xml:space="preserve">GRD fournit ce document dans un délai de maximum </w:t>
      </w:r>
      <w:r w:rsidR="00AE0DFA">
        <w:rPr>
          <w:rFonts w:cs="Arial"/>
          <w:szCs w:val="20"/>
          <w:lang w:val="fr-BE"/>
        </w:rPr>
        <w:t>15 jours ouvrables</w:t>
      </w:r>
      <w:r w:rsidR="00D43116">
        <w:rPr>
          <w:rFonts w:cs="Arial"/>
          <w:szCs w:val="20"/>
          <w:lang w:val="fr-BE"/>
        </w:rPr>
        <w:t xml:space="preserve"> après réception de la demande.  </w:t>
      </w:r>
    </w:p>
    <w:bookmarkEnd w:id="158"/>
    <w:p w14:paraId="1FDDF64A" w14:textId="77777777" w:rsidR="002725C9" w:rsidRPr="00926204" w:rsidRDefault="002725C9" w:rsidP="005D1325">
      <w:pPr>
        <w:autoSpaceDE w:val="0"/>
        <w:autoSpaceDN w:val="0"/>
        <w:adjustRightInd w:val="0"/>
        <w:rPr>
          <w:rFonts w:cs="Arial"/>
          <w:spacing w:val="5"/>
          <w:kern w:val="28"/>
          <w:szCs w:val="20"/>
          <w:lang w:val="fr-BE"/>
        </w:rPr>
      </w:pPr>
    </w:p>
    <w:p w14:paraId="213E25D0" w14:textId="77777777" w:rsidR="00EB06BC" w:rsidRPr="00AA65BF" w:rsidRDefault="00AA65BF" w:rsidP="00402922">
      <w:pPr>
        <w:numPr>
          <w:ilvl w:val="0"/>
          <w:numId w:val="15"/>
        </w:numPr>
        <w:spacing w:after="200" w:line="276" w:lineRule="auto"/>
        <w:rPr>
          <w:rFonts w:ascii="Cambria" w:hAnsi="Cambria"/>
          <w:b/>
          <w:spacing w:val="5"/>
          <w:kern w:val="28"/>
          <w:szCs w:val="20"/>
          <w:lang w:val="fr-BE"/>
        </w:rPr>
      </w:pPr>
      <w:r w:rsidRPr="00AA65BF">
        <w:rPr>
          <w:b/>
          <w:szCs w:val="20"/>
        </w:rPr>
        <w:t>Formulaire CCC</w:t>
      </w:r>
    </w:p>
    <w:bookmarkStart w:id="159" w:name="_MON_1540713838"/>
    <w:bookmarkEnd w:id="159"/>
    <w:p w14:paraId="683D677D" w14:textId="77777777" w:rsidR="00EB06BC" w:rsidRDefault="00980537" w:rsidP="008A0D18">
      <w:pPr>
        <w:spacing w:after="200" w:line="276" w:lineRule="auto"/>
        <w:rPr>
          <w:lang w:val="fr-BE" w:eastAsia="nl-NL"/>
        </w:rPr>
      </w:pPr>
      <w:r>
        <w:rPr>
          <w:lang w:val="fr-BE" w:eastAsia="nl-NL"/>
        </w:rPr>
        <w:object w:dxaOrig="1531" w:dyaOrig="1002" w14:anchorId="3468E9A5">
          <v:shape id="_x0000_i1025" type="#_x0000_t75" style="width:76.5pt;height:50.25pt" o:ole="">
            <v:imagedata r:id="rId14" o:title=""/>
          </v:shape>
          <o:OLEObject Type="Embed" ProgID="Word.Document.12" ShapeID="_x0000_i1025" DrawAspect="Icon" ObjectID="_1706680341" r:id="rId15">
            <o:FieldCodes>\s</o:FieldCodes>
          </o:OLEObject>
        </w:object>
      </w:r>
    </w:p>
    <w:p w14:paraId="7977EB52" w14:textId="4E0A179A" w:rsidR="00A103E3" w:rsidRDefault="00A103E3" w:rsidP="006032A6">
      <w:pPr>
        <w:pStyle w:val="Titre1"/>
        <w:rPr>
          <w:lang w:val="fr-BE"/>
        </w:rPr>
      </w:pPr>
      <w:bookmarkStart w:id="160" w:name="_Toc65745146"/>
      <w:r w:rsidRPr="00C71D0C">
        <w:rPr>
          <w:lang w:val="fr-BE"/>
        </w:rPr>
        <w:t xml:space="preserve">Annexe </w:t>
      </w:r>
      <w:r w:rsidR="00FE5D52">
        <w:rPr>
          <w:lang w:val="fr-BE"/>
        </w:rPr>
        <w:t>3</w:t>
      </w:r>
      <w:r w:rsidRPr="00C71D0C">
        <w:rPr>
          <w:lang w:val="fr-BE"/>
        </w:rPr>
        <w:t> : Formulaire de demande</w:t>
      </w:r>
      <w:r w:rsidR="00FE5D52">
        <w:rPr>
          <w:lang w:val="fr-BE"/>
        </w:rPr>
        <w:t xml:space="preserve"> </w:t>
      </w:r>
      <w:r w:rsidRPr="00C71D0C">
        <w:rPr>
          <w:lang w:val="fr-BE"/>
        </w:rPr>
        <w:t>de NFS</w:t>
      </w:r>
      <w:r w:rsidR="000B5E77">
        <w:rPr>
          <w:lang w:val="fr-BE"/>
        </w:rPr>
        <w:t xml:space="preserve"> et communication du résultat par le GRD</w:t>
      </w:r>
      <w:bookmarkEnd w:id="160"/>
    </w:p>
    <w:p w14:paraId="74383D8B" w14:textId="77777777" w:rsidR="002C13A0" w:rsidRPr="002C13A0" w:rsidRDefault="002C13A0" w:rsidP="002C13A0">
      <w:pPr>
        <w:rPr>
          <w:lang w:val="fr-BE"/>
        </w:rPr>
      </w:pPr>
    </w:p>
    <w:p w14:paraId="21E7BE25" w14:textId="4382D8B1" w:rsidR="006D4278" w:rsidRDefault="00F869A9" w:rsidP="00C80E9B">
      <w:pPr>
        <w:widowControl w:val="0"/>
        <w:tabs>
          <w:tab w:val="left" w:pos="284"/>
        </w:tabs>
        <w:jc w:val="both"/>
        <w:rPr>
          <w:sz w:val="40"/>
          <w:lang w:val="fr-BE"/>
        </w:rPr>
      </w:pPr>
      <w:r>
        <w:rPr>
          <w:sz w:val="40"/>
          <w:lang w:val="fr-BE"/>
        </w:rPr>
        <w:t xml:space="preserve">    </w:t>
      </w:r>
      <w:r>
        <w:rPr>
          <w:sz w:val="40"/>
          <w:lang w:val="fr-BE"/>
        </w:rPr>
        <w:object w:dxaOrig="1534" w:dyaOrig="997" w14:anchorId="0E88B12D">
          <v:shape id="_x0000_i1026" type="#_x0000_t75" style="width:77.25pt;height:50.25pt" o:ole="">
            <v:imagedata r:id="rId16" o:title=""/>
          </v:shape>
          <o:OLEObject Type="Embed" ProgID="Excel.Sheet.12" ShapeID="_x0000_i1026" DrawAspect="Icon" ObjectID="_1706680342" r:id="rId17"/>
        </w:object>
      </w:r>
    </w:p>
    <w:p w14:paraId="0D6BC2F8" w14:textId="7690B438" w:rsidR="00311740" w:rsidRDefault="00311740">
      <w:pPr>
        <w:rPr>
          <w:sz w:val="40"/>
          <w:lang w:val="fr-BE"/>
        </w:rPr>
      </w:pPr>
      <w:r>
        <w:rPr>
          <w:sz w:val="40"/>
          <w:lang w:val="fr-BE"/>
        </w:rPr>
        <w:br w:type="page"/>
      </w:r>
    </w:p>
    <w:p w14:paraId="671FC4AD" w14:textId="4471680C" w:rsidR="004803AA" w:rsidRPr="001766DD" w:rsidRDefault="004803AA" w:rsidP="004803AA">
      <w:pPr>
        <w:pStyle w:val="Titre1"/>
        <w:rPr>
          <w:lang w:val="fr-BE"/>
        </w:rPr>
      </w:pPr>
      <w:bookmarkStart w:id="161" w:name="_Toc464743532"/>
      <w:bookmarkStart w:id="162" w:name="_Toc65745147"/>
      <w:r w:rsidRPr="00C71D0C">
        <w:rPr>
          <w:lang w:val="fr-BE"/>
        </w:rPr>
        <w:lastRenderedPageBreak/>
        <w:t xml:space="preserve">Annexe </w:t>
      </w:r>
      <w:r>
        <w:rPr>
          <w:lang w:val="fr-BE"/>
        </w:rPr>
        <w:t>4</w:t>
      </w:r>
      <w:r w:rsidRPr="00C71D0C">
        <w:rPr>
          <w:lang w:val="fr-BE"/>
        </w:rPr>
        <w:t> </w:t>
      </w:r>
      <w:r w:rsidRPr="001766DD">
        <w:rPr>
          <w:lang w:val="fr-BE"/>
        </w:rPr>
        <w:t>(annexe informative)</w:t>
      </w:r>
      <w:bookmarkEnd w:id="161"/>
      <w:bookmarkEnd w:id="162"/>
    </w:p>
    <w:p w14:paraId="48C91CB4" w14:textId="77777777" w:rsidR="004803AA" w:rsidRPr="00E57C76" w:rsidRDefault="004803AA" w:rsidP="004803AA">
      <w:pPr>
        <w:widowControl w:val="0"/>
        <w:tabs>
          <w:tab w:val="left" w:pos="284"/>
        </w:tabs>
        <w:ind w:left="720"/>
        <w:jc w:val="both"/>
        <w:rPr>
          <w:lang w:val="fr-BE"/>
        </w:rPr>
      </w:pPr>
    </w:p>
    <w:p w14:paraId="665F08E5" w14:textId="77777777" w:rsidR="004803AA" w:rsidRDefault="004803AA" w:rsidP="004803AA">
      <w:pPr>
        <w:widowControl w:val="0"/>
        <w:tabs>
          <w:tab w:val="left" w:pos="284"/>
        </w:tabs>
        <w:ind w:left="284"/>
        <w:jc w:val="both"/>
        <w:rPr>
          <w:lang w:val="fr-BE"/>
        </w:rPr>
      </w:pPr>
      <w:r w:rsidRPr="001766DD">
        <w:rPr>
          <w:rFonts w:ascii="Cambria" w:hAnsi="Cambria"/>
          <w:b/>
          <w:sz w:val="28"/>
          <w:szCs w:val="28"/>
          <w:lang w:val="fr-BE"/>
        </w:rPr>
        <w:t>Conformité technique de l’installation</w:t>
      </w:r>
      <w:r w:rsidRPr="00263002">
        <w:rPr>
          <w:lang w:val="fr-BE"/>
        </w:rPr>
        <w:t xml:space="preserve"> </w:t>
      </w:r>
    </w:p>
    <w:p w14:paraId="66E51B6C" w14:textId="77777777" w:rsidR="004803AA" w:rsidRDefault="004803AA" w:rsidP="004803AA">
      <w:pPr>
        <w:widowControl w:val="0"/>
        <w:tabs>
          <w:tab w:val="left" w:pos="284"/>
        </w:tabs>
        <w:ind w:left="284"/>
        <w:jc w:val="both"/>
        <w:rPr>
          <w:lang w:val="fr-BE"/>
        </w:rPr>
      </w:pPr>
    </w:p>
    <w:p w14:paraId="7E59DD17" w14:textId="713D368C" w:rsidR="004803AA" w:rsidRPr="001766DD" w:rsidRDefault="004803AA" w:rsidP="004803AA">
      <w:pPr>
        <w:widowControl w:val="0"/>
        <w:tabs>
          <w:tab w:val="left" w:pos="284"/>
        </w:tabs>
        <w:ind w:left="284"/>
        <w:jc w:val="both"/>
        <w:rPr>
          <w:lang w:val="fr-BE"/>
        </w:rPr>
      </w:pPr>
      <w:r w:rsidRPr="00263002">
        <w:rPr>
          <w:lang w:val="fr-BE"/>
        </w:rPr>
        <w:t xml:space="preserve">Toute installation technique de l’URD </w:t>
      </w:r>
      <w:r>
        <w:rPr>
          <w:lang w:val="fr-BE"/>
        </w:rPr>
        <w:t>doit être conforme au règlement technique</w:t>
      </w:r>
      <w:r w:rsidR="00AE2AA4">
        <w:rPr>
          <w:lang w:val="fr-BE"/>
        </w:rPr>
        <w:t xml:space="preserve"> </w:t>
      </w:r>
      <w:r w:rsidR="00E77D6C">
        <w:rPr>
          <w:lang w:val="fr-BE"/>
        </w:rPr>
        <w:t>et</w:t>
      </w:r>
      <w:r w:rsidR="000E3FDC">
        <w:rPr>
          <w:lang w:val="fr-BE"/>
        </w:rPr>
        <w:t xml:space="preserve"> </w:t>
      </w:r>
      <w:r w:rsidR="00E77D6C">
        <w:rPr>
          <w:lang w:val="fr-BE"/>
        </w:rPr>
        <w:t>l</w:t>
      </w:r>
      <w:r w:rsidR="00011E92">
        <w:rPr>
          <w:lang w:val="fr-BE"/>
        </w:rPr>
        <w:t>a(l</w:t>
      </w:r>
      <w:r w:rsidRPr="00263002">
        <w:rPr>
          <w:lang w:val="fr-BE"/>
        </w:rPr>
        <w:t>es</w:t>
      </w:r>
      <w:r w:rsidR="00E77D6C">
        <w:rPr>
          <w:lang w:val="fr-BE"/>
        </w:rPr>
        <w:t>)</w:t>
      </w:r>
      <w:r w:rsidRPr="00263002">
        <w:rPr>
          <w:lang w:val="fr-BE"/>
        </w:rPr>
        <w:t xml:space="preserve"> prescription</w:t>
      </w:r>
      <w:r w:rsidR="00011E92">
        <w:rPr>
          <w:lang w:val="fr-BE"/>
        </w:rPr>
        <w:t>(</w:t>
      </w:r>
      <w:r w:rsidRPr="00263002">
        <w:rPr>
          <w:lang w:val="fr-BE"/>
        </w:rPr>
        <w:t>s</w:t>
      </w:r>
      <w:r w:rsidR="00011E92">
        <w:rPr>
          <w:lang w:val="fr-BE"/>
        </w:rPr>
        <w:t>)</w:t>
      </w:r>
      <w:r w:rsidRPr="00263002">
        <w:rPr>
          <w:lang w:val="fr-BE"/>
        </w:rPr>
        <w:t xml:space="preserve"> technique</w:t>
      </w:r>
      <w:r w:rsidR="00011E92">
        <w:rPr>
          <w:lang w:val="fr-BE"/>
        </w:rPr>
        <w:t>(</w:t>
      </w:r>
      <w:r w:rsidRPr="00263002">
        <w:rPr>
          <w:lang w:val="fr-BE"/>
        </w:rPr>
        <w:t>s</w:t>
      </w:r>
      <w:r w:rsidR="00011E92">
        <w:rPr>
          <w:lang w:val="fr-BE"/>
        </w:rPr>
        <w:t>)</w:t>
      </w:r>
      <w:r w:rsidR="00941721">
        <w:rPr>
          <w:lang w:val="fr-BE"/>
        </w:rPr>
        <w:t xml:space="preserve"> (entre autres, si d’application</w:t>
      </w:r>
      <w:r w:rsidRPr="00263002">
        <w:rPr>
          <w:lang w:val="fr-BE"/>
        </w:rPr>
        <w:t xml:space="preserve"> C2/112, C2/116, C10/11 et C10/17, </w:t>
      </w:r>
      <w:r>
        <w:rPr>
          <w:lang w:val="fr-BE"/>
        </w:rPr>
        <w:t xml:space="preserve">ainsi </w:t>
      </w:r>
      <w:r w:rsidRPr="00263002">
        <w:rPr>
          <w:lang w:val="fr-BE"/>
        </w:rPr>
        <w:t xml:space="preserve">qu’au </w:t>
      </w:r>
      <w:r w:rsidR="007D130C">
        <w:rPr>
          <w:lang w:val="fr-BE"/>
        </w:rPr>
        <w:t xml:space="preserve">règlement de raccordement (si d’application) ou les </w:t>
      </w:r>
      <w:r w:rsidRPr="00263002">
        <w:rPr>
          <w:lang w:val="fr-BE"/>
        </w:rPr>
        <w:t xml:space="preserve">exigences contractuelles en vigueur. </w:t>
      </w:r>
    </w:p>
    <w:p w14:paraId="5883B9E8" w14:textId="77777777" w:rsidR="004803AA" w:rsidRPr="001766DD" w:rsidRDefault="004803AA" w:rsidP="004803AA">
      <w:pPr>
        <w:widowControl w:val="0"/>
        <w:tabs>
          <w:tab w:val="left" w:pos="284"/>
        </w:tabs>
        <w:ind w:left="284"/>
        <w:jc w:val="both"/>
        <w:rPr>
          <w:lang w:val="fr-BE"/>
        </w:rPr>
      </w:pPr>
    </w:p>
    <w:p w14:paraId="507FF18A" w14:textId="3139CF18" w:rsidR="004803AA" w:rsidRPr="0088381F" w:rsidRDefault="004803AA" w:rsidP="004803AA">
      <w:pPr>
        <w:widowControl w:val="0"/>
        <w:tabs>
          <w:tab w:val="left" w:pos="284"/>
        </w:tabs>
        <w:ind w:left="284"/>
        <w:jc w:val="both"/>
        <w:rPr>
          <w:lang w:val="fr-BE"/>
        </w:rPr>
      </w:pPr>
      <w:r>
        <w:rPr>
          <w:lang w:val="fr-BE"/>
        </w:rPr>
        <w:t xml:space="preserve">En particulier, dans le cas où la flexibilité sans déplacement de charge </w:t>
      </w:r>
      <w:r w:rsidR="007D130C">
        <w:rPr>
          <w:lang w:val="fr-BE"/>
        </w:rPr>
        <w:t xml:space="preserve">dans le temps </w:t>
      </w:r>
      <w:r>
        <w:rPr>
          <w:lang w:val="fr-BE"/>
        </w:rPr>
        <w:t>est réalisée par la mise en service d’une unité de production d’électricité fonctionnant en parallèle avec le réseau de distribution, le GRD vérifiera la conformité au C10/11 et du dispositif de prise de synchronisme</w:t>
      </w:r>
    </w:p>
    <w:p w14:paraId="5762296D" w14:textId="77777777" w:rsidR="004803AA" w:rsidRPr="0088381F" w:rsidRDefault="004803AA" w:rsidP="004803AA">
      <w:pPr>
        <w:widowControl w:val="0"/>
        <w:tabs>
          <w:tab w:val="left" w:pos="284"/>
        </w:tabs>
        <w:ind w:left="284"/>
        <w:jc w:val="both"/>
        <w:rPr>
          <w:lang w:val="fr-BE"/>
        </w:rPr>
      </w:pPr>
    </w:p>
    <w:p w14:paraId="6BDC22D2" w14:textId="1C3902CF" w:rsidR="004803AA" w:rsidRDefault="004803AA" w:rsidP="004803AA">
      <w:pPr>
        <w:widowControl w:val="0"/>
        <w:tabs>
          <w:tab w:val="left" w:pos="284"/>
        </w:tabs>
        <w:ind w:left="284"/>
        <w:jc w:val="both"/>
        <w:rPr>
          <w:lang w:val="fr-BE"/>
        </w:rPr>
      </w:pPr>
      <w:r w:rsidRPr="00426207">
        <w:rPr>
          <w:lang w:val="fr-BE"/>
        </w:rPr>
        <w:t>Dans le cas de l</w:t>
      </w:r>
      <w:r>
        <w:rPr>
          <w:lang w:val="fr-BE"/>
        </w:rPr>
        <w:t xml:space="preserve">a flexibilité sans déplacement de charge </w:t>
      </w:r>
      <w:r w:rsidR="00357E11">
        <w:rPr>
          <w:lang w:val="fr-BE"/>
        </w:rPr>
        <w:t xml:space="preserve">dans le temps </w:t>
      </w:r>
      <w:r>
        <w:rPr>
          <w:lang w:val="fr-BE"/>
        </w:rPr>
        <w:t>réalisée par l’utilisation d’un groupe</w:t>
      </w:r>
      <w:r w:rsidR="00357E11">
        <w:rPr>
          <w:lang w:val="fr-BE"/>
        </w:rPr>
        <w:t xml:space="preserve"> électrogène de secours</w:t>
      </w:r>
      <w:r>
        <w:rPr>
          <w:lang w:val="fr-BE"/>
        </w:rPr>
        <w:t>, les exigences suivantes sont d’application :</w:t>
      </w:r>
    </w:p>
    <w:p w14:paraId="7730C587" w14:textId="77777777" w:rsidR="004803AA" w:rsidRDefault="004803AA" w:rsidP="004803AA">
      <w:pPr>
        <w:widowControl w:val="0"/>
        <w:tabs>
          <w:tab w:val="left" w:pos="284"/>
        </w:tabs>
        <w:ind w:left="284"/>
        <w:jc w:val="both"/>
        <w:rPr>
          <w:lang w:val="fr-BE"/>
        </w:rPr>
      </w:pPr>
    </w:p>
    <w:p w14:paraId="2516B3F8" w14:textId="6523D1BB" w:rsidR="004803AA" w:rsidRDefault="00357E11" w:rsidP="004803AA">
      <w:pPr>
        <w:widowControl w:val="0"/>
        <w:numPr>
          <w:ilvl w:val="0"/>
          <w:numId w:val="16"/>
        </w:numPr>
        <w:tabs>
          <w:tab w:val="left" w:pos="284"/>
        </w:tabs>
        <w:jc w:val="both"/>
        <w:rPr>
          <w:lang w:val="fr-BE"/>
        </w:rPr>
      </w:pPr>
      <w:r>
        <w:rPr>
          <w:lang w:val="fr-BE"/>
        </w:rPr>
        <w:t>Si</w:t>
      </w:r>
      <w:r w:rsidR="004803AA">
        <w:rPr>
          <w:lang w:val="fr-BE"/>
        </w:rPr>
        <w:t xml:space="preserve"> le groupe de secours n’est pas exploité en parallèle avec le réseau de distribution (fonctionnement en îlotage) : les circuits ainsi alimentés doivent être physiquement complètement séparés de ceux qui continuent à être alimentés par le réseau, tel qu’illustré ci-après (</w:t>
      </w:r>
      <w:proofErr w:type="spellStart"/>
      <w:r w:rsidR="004803AA">
        <w:rPr>
          <w:lang w:val="fr-BE"/>
        </w:rPr>
        <w:t>cf</w:t>
      </w:r>
      <w:proofErr w:type="spellEnd"/>
      <w:r w:rsidR="004803AA">
        <w:rPr>
          <w:lang w:val="fr-BE"/>
        </w:rPr>
        <w:t xml:space="preserve"> C10/11 § </w:t>
      </w:r>
      <w:r>
        <w:rPr>
          <w:lang w:val="fr-BE"/>
        </w:rPr>
        <w:t>7</w:t>
      </w:r>
      <w:r w:rsidR="004803AA">
        <w:rPr>
          <w:lang w:val="fr-BE"/>
        </w:rPr>
        <w:t>)</w:t>
      </w:r>
    </w:p>
    <w:p w14:paraId="4C9920D0" w14:textId="77777777" w:rsidR="00AE2AA4" w:rsidRDefault="00AE2AA4" w:rsidP="00AE2AA4">
      <w:pPr>
        <w:widowControl w:val="0"/>
        <w:tabs>
          <w:tab w:val="left" w:pos="284"/>
        </w:tabs>
        <w:ind w:left="1004"/>
        <w:jc w:val="both"/>
        <w:rPr>
          <w:lang w:val="fr-BE"/>
        </w:rPr>
      </w:pPr>
    </w:p>
    <w:p w14:paraId="73030888" w14:textId="4EB62D56" w:rsidR="004803AA" w:rsidRDefault="00AE2AA4" w:rsidP="004803AA">
      <w:pPr>
        <w:pStyle w:val="Paragraphedeliste"/>
        <w:keepNext/>
        <w:keepLines/>
        <w:widowControl w:val="0"/>
        <w:tabs>
          <w:tab w:val="left" w:pos="0"/>
        </w:tabs>
        <w:jc w:val="center"/>
        <w:rPr>
          <w:lang w:val="fr-BE"/>
        </w:rPr>
      </w:pPr>
      <w:r w:rsidRPr="00D227BC">
        <w:rPr>
          <w:noProof/>
        </w:rPr>
        <w:drawing>
          <wp:inline distT="0" distB="0" distL="0" distR="0" wp14:anchorId="1980C4DF" wp14:editId="7C0D53AF">
            <wp:extent cx="4028536" cy="269892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57328" cy="2718216"/>
                    </a:xfrm>
                    <a:prstGeom prst="rect">
                      <a:avLst/>
                    </a:prstGeom>
                  </pic:spPr>
                </pic:pic>
              </a:graphicData>
            </a:graphic>
          </wp:inline>
        </w:drawing>
      </w:r>
    </w:p>
    <w:p w14:paraId="3DF61A21" w14:textId="77777777" w:rsidR="00AE2AA4" w:rsidRDefault="00AE2AA4" w:rsidP="004803AA">
      <w:pPr>
        <w:pStyle w:val="Paragraphedeliste"/>
        <w:keepNext/>
        <w:keepLines/>
        <w:widowControl w:val="0"/>
        <w:tabs>
          <w:tab w:val="left" w:pos="0"/>
        </w:tabs>
        <w:jc w:val="center"/>
        <w:rPr>
          <w:lang w:val="fr-BE"/>
        </w:rPr>
      </w:pPr>
    </w:p>
    <w:p w14:paraId="566B48A2" w14:textId="2A31DEAF" w:rsidR="004803AA" w:rsidRDefault="004803AA" w:rsidP="004803AA">
      <w:pPr>
        <w:pStyle w:val="Paragraphedeliste"/>
        <w:keepNext/>
        <w:keepLines/>
        <w:widowControl w:val="0"/>
        <w:numPr>
          <w:ilvl w:val="0"/>
          <w:numId w:val="16"/>
        </w:numPr>
        <w:tabs>
          <w:tab w:val="left" w:pos="0"/>
        </w:tabs>
        <w:rPr>
          <w:lang w:val="fr-BE"/>
        </w:rPr>
      </w:pPr>
      <w:r>
        <w:rPr>
          <w:lang w:val="fr-BE"/>
        </w:rPr>
        <w:t>S</w:t>
      </w:r>
      <w:r w:rsidR="00357E11">
        <w:rPr>
          <w:lang w:val="fr-BE"/>
        </w:rPr>
        <w:t xml:space="preserve">i </w:t>
      </w:r>
      <w:r>
        <w:rPr>
          <w:lang w:val="fr-BE"/>
        </w:rPr>
        <w:t xml:space="preserve">le groupe </w:t>
      </w:r>
      <w:r w:rsidR="00357E11">
        <w:rPr>
          <w:lang w:val="fr-BE"/>
        </w:rPr>
        <w:t xml:space="preserve">de secours </w:t>
      </w:r>
      <w:r>
        <w:rPr>
          <w:lang w:val="fr-BE"/>
        </w:rPr>
        <w:t>est exploité en parallèle avec le réseau de distribution :</w:t>
      </w:r>
    </w:p>
    <w:p w14:paraId="6CCE592C" w14:textId="77777777" w:rsidR="004803AA" w:rsidRDefault="004803AA" w:rsidP="004803AA">
      <w:pPr>
        <w:pStyle w:val="Paragraphedeliste"/>
        <w:keepNext/>
        <w:keepLines/>
        <w:widowControl w:val="0"/>
        <w:numPr>
          <w:ilvl w:val="1"/>
          <w:numId w:val="14"/>
        </w:numPr>
        <w:tabs>
          <w:tab w:val="left" w:pos="0"/>
        </w:tabs>
        <w:rPr>
          <w:lang w:val="fr-BE"/>
        </w:rPr>
      </w:pPr>
      <w:r>
        <w:rPr>
          <w:lang w:val="fr-BE"/>
        </w:rPr>
        <w:t>L’installation doit être conforme au C10/11 et est considérée comme production locale</w:t>
      </w:r>
    </w:p>
    <w:p w14:paraId="433FE385" w14:textId="77777777" w:rsidR="004803AA" w:rsidRPr="00426207" w:rsidRDefault="004803AA" w:rsidP="004803AA">
      <w:pPr>
        <w:pStyle w:val="Paragraphedeliste"/>
        <w:keepNext/>
        <w:keepLines/>
        <w:widowControl w:val="0"/>
        <w:numPr>
          <w:ilvl w:val="1"/>
          <w:numId w:val="14"/>
        </w:numPr>
        <w:tabs>
          <w:tab w:val="left" w:pos="0"/>
        </w:tabs>
        <w:rPr>
          <w:lang w:val="fr-BE"/>
        </w:rPr>
      </w:pPr>
      <w:r>
        <w:rPr>
          <w:lang w:val="fr-BE"/>
        </w:rPr>
        <w:t xml:space="preserve">L’URD doit introduire une demande d’étude de détail auprès de son GRD préalablement à la NFS. </w:t>
      </w:r>
    </w:p>
    <w:p w14:paraId="05084CF2" w14:textId="77777777" w:rsidR="004803AA" w:rsidRPr="00426207" w:rsidRDefault="004803AA" w:rsidP="004803AA">
      <w:pPr>
        <w:keepNext/>
        <w:keepLines/>
        <w:widowControl w:val="0"/>
        <w:tabs>
          <w:tab w:val="left" w:pos="0"/>
        </w:tabs>
        <w:rPr>
          <w:lang w:val="fr-BE"/>
        </w:rPr>
      </w:pPr>
    </w:p>
    <w:p w14:paraId="2A7C9B69" w14:textId="54935E34" w:rsidR="004803AA" w:rsidRDefault="004803AA" w:rsidP="004803AA">
      <w:pPr>
        <w:keepNext/>
        <w:keepLines/>
        <w:widowControl w:val="0"/>
        <w:tabs>
          <w:tab w:val="left" w:pos="284"/>
        </w:tabs>
        <w:ind w:left="284"/>
        <w:jc w:val="both"/>
        <w:rPr>
          <w:lang w:val="fr-BE"/>
        </w:rPr>
      </w:pPr>
      <w:r w:rsidRPr="00161ECA">
        <w:rPr>
          <w:lang w:val="fr-BE"/>
        </w:rPr>
        <w:t>Pour examiner la conformité du raccordement et des installations d’un</w:t>
      </w:r>
      <w:r>
        <w:rPr>
          <w:lang w:val="fr-BE"/>
        </w:rPr>
        <w:t xml:space="preserve"> URD, </w:t>
      </w:r>
      <w:r w:rsidRPr="00161ECA">
        <w:rPr>
          <w:lang w:val="fr-BE"/>
        </w:rPr>
        <w:t xml:space="preserve">le </w:t>
      </w:r>
      <w:r>
        <w:rPr>
          <w:lang w:val="fr-BE"/>
        </w:rPr>
        <w:t xml:space="preserve">GRD </w:t>
      </w:r>
      <w:r w:rsidRPr="00161ECA">
        <w:rPr>
          <w:lang w:val="fr-BE"/>
        </w:rPr>
        <w:t>peut, de sa propre initiative</w:t>
      </w:r>
      <w:r>
        <w:rPr>
          <w:lang w:val="fr-BE"/>
        </w:rPr>
        <w:t>,</w:t>
      </w:r>
      <w:r w:rsidRPr="00161ECA">
        <w:rPr>
          <w:lang w:val="fr-BE"/>
        </w:rPr>
        <w:t xml:space="preserve"> effectuer des tests sur les installations.</w:t>
      </w:r>
      <w:r>
        <w:rPr>
          <w:lang w:val="fr-BE"/>
        </w:rPr>
        <w:t xml:space="preserve"> </w:t>
      </w:r>
      <w:r w:rsidRPr="00161ECA">
        <w:rPr>
          <w:lang w:val="fr-BE"/>
        </w:rPr>
        <w:t xml:space="preserve">Après concertation, le </w:t>
      </w:r>
      <w:r>
        <w:rPr>
          <w:lang w:val="fr-BE"/>
        </w:rPr>
        <w:t xml:space="preserve">GRD et l’URD </w:t>
      </w:r>
      <w:r w:rsidRPr="00161ECA">
        <w:rPr>
          <w:lang w:val="fr-BE"/>
        </w:rPr>
        <w:t>concerné conviennent de la procédure, du calendrier et des moyens à mettre en</w:t>
      </w:r>
      <w:r>
        <w:rPr>
          <w:lang w:val="fr-BE"/>
        </w:rPr>
        <w:t xml:space="preserve"> </w:t>
      </w:r>
      <w:r w:rsidRPr="00161ECA">
        <w:rPr>
          <w:lang w:val="fr-BE"/>
        </w:rPr>
        <w:t>œuvre en vue d’eff</w:t>
      </w:r>
      <w:r>
        <w:rPr>
          <w:lang w:val="fr-BE"/>
        </w:rPr>
        <w:t xml:space="preserve">ectuer ces tests.  </w:t>
      </w:r>
      <w:r w:rsidRPr="00161ECA">
        <w:rPr>
          <w:lang w:val="fr-BE"/>
        </w:rPr>
        <w:t>Dans le mois qui suit l</w:t>
      </w:r>
      <w:r>
        <w:rPr>
          <w:lang w:val="fr-BE"/>
        </w:rPr>
        <w:t>’exécution de c</w:t>
      </w:r>
      <w:r w:rsidRPr="00161ECA">
        <w:rPr>
          <w:lang w:val="fr-BE"/>
        </w:rPr>
        <w:t>es tests</w:t>
      </w:r>
      <w:r>
        <w:rPr>
          <w:lang w:val="fr-BE"/>
        </w:rPr>
        <w:t>,</w:t>
      </w:r>
      <w:r w:rsidRPr="00161ECA">
        <w:rPr>
          <w:lang w:val="fr-BE"/>
        </w:rPr>
        <w:t xml:space="preserve"> </w:t>
      </w:r>
      <w:r>
        <w:rPr>
          <w:lang w:val="fr-BE"/>
        </w:rPr>
        <w:t xml:space="preserve">le GRD </w:t>
      </w:r>
      <w:r w:rsidRPr="00161ECA">
        <w:rPr>
          <w:lang w:val="fr-BE"/>
        </w:rPr>
        <w:t>transmet un rapport à</w:t>
      </w:r>
      <w:r>
        <w:rPr>
          <w:lang w:val="fr-BE"/>
        </w:rPr>
        <w:t xml:space="preserve"> l’URD reprenant les observations et mesures réalisées.</w:t>
      </w:r>
    </w:p>
    <w:p w14:paraId="0962C72A" w14:textId="77777777" w:rsidR="004803AA" w:rsidRDefault="004803AA" w:rsidP="004803AA">
      <w:pPr>
        <w:keepNext/>
        <w:keepLines/>
        <w:widowControl w:val="0"/>
        <w:tabs>
          <w:tab w:val="left" w:pos="0"/>
        </w:tabs>
        <w:jc w:val="both"/>
        <w:rPr>
          <w:lang w:val="fr-BE"/>
        </w:rPr>
      </w:pPr>
    </w:p>
    <w:p w14:paraId="2D7F5CB1" w14:textId="77777777" w:rsidR="004803AA" w:rsidRDefault="004803AA" w:rsidP="004803AA">
      <w:pPr>
        <w:keepNext/>
        <w:keepLines/>
        <w:widowControl w:val="0"/>
        <w:tabs>
          <w:tab w:val="left" w:pos="0"/>
        </w:tabs>
        <w:jc w:val="both"/>
        <w:rPr>
          <w:lang w:val="fr-BE"/>
        </w:rPr>
      </w:pPr>
    </w:p>
    <w:p w14:paraId="0A13C241" w14:textId="5682582F" w:rsidR="004803AA" w:rsidRPr="007C216A" w:rsidRDefault="004803AA" w:rsidP="004803AA">
      <w:pPr>
        <w:keepNext/>
        <w:keepLines/>
        <w:widowControl w:val="0"/>
        <w:tabs>
          <w:tab w:val="left" w:pos="284"/>
        </w:tabs>
        <w:ind w:left="284"/>
        <w:jc w:val="both"/>
        <w:rPr>
          <w:lang w:val="fr-BE"/>
        </w:rPr>
      </w:pPr>
      <w:r>
        <w:rPr>
          <w:lang w:val="fr-BE"/>
        </w:rPr>
        <w:t xml:space="preserve">En outre, s’il le juge nécessaire, le GRD peut demander des renseignements complémentaires </w:t>
      </w:r>
      <w:r w:rsidR="001375EF">
        <w:rPr>
          <w:lang w:val="fr-BE"/>
        </w:rPr>
        <w:t xml:space="preserve">entre autres </w:t>
      </w:r>
      <w:r>
        <w:rPr>
          <w:lang w:val="fr-BE"/>
        </w:rPr>
        <w:t>portant sur :</w:t>
      </w:r>
    </w:p>
    <w:p w14:paraId="330FE3D2" w14:textId="4F79828E" w:rsidR="004803AA" w:rsidRDefault="004803AA" w:rsidP="004803AA">
      <w:pPr>
        <w:pStyle w:val="Paragraphedeliste"/>
        <w:keepNext/>
        <w:keepLines/>
        <w:widowControl w:val="0"/>
        <w:numPr>
          <w:ilvl w:val="0"/>
          <w:numId w:val="5"/>
        </w:numPr>
        <w:tabs>
          <w:tab w:val="left" w:pos="0"/>
        </w:tabs>
        <w:rPr>
          <w:lang w:val="fr-BE"/>
        </w:rPr>
      </w:pPr>
      <w:r>
        <w:rPr>
          <w:lang w:val="fr-BE"/>
        </w:rPr>
        <w:t>Les moyens de contrôle et de mesure des charges flexibles</w:t>
      </w:r>
      <w:r w:rsidR="001375EF">
        <w:rPr>
          <w:lang w:val="fr-BE"/>
        </w:rPr>
        <w:t>.</w:t>
      </w:r>
    </w:p>
    <w:p w14:paraId="03A3CF93" w14:textId="2E5373D3" w:rsidR="004803AA" w:rsidRDefault="004803AA" w:rsidP="004803AA">
      <w:pPr>
        <w:pStyle w:val="Paragraphedeliste"/>
        <w:widowControl w:val="0"/>
        <w:numPr>
          <w:ilvl w:val="0"/>
          <w:numId w:val="5"/>
        </w:numPr>
        <w:tabs>
          <w:tab w:val="left" w:pos="0"/>
        </w:tabs>
        <w:ind w:left="714" w:hanging="357"/>
        <w:rPr>
          <w:lang w:val="fr-BE"/>
        </w:rPr>
      </w:pPr>
      <w:r>
        <w:rPr>
          <w:lang w:val="fr-BE"/>
        </w:rPr>
        <w:t>Les logiques de commande des charges flexibles et de récupération de l’énergie (afin de vérifier par exemple la compatibilité avec les protections réseaux du GRD)</w:t>
      </w:r>
      <w:r w:rsidR="001375EF">
        <w:rPr>
          <w:lang w:val="fr-BE"/>
        </w:rPr>
        <w:t>.</w:t>
      </w:r>
    </w:p>
    <w:p w14:paraId="3E5EFD8A" w14:textId="77777777" w:rsidR="004803AA" w:rsidRDefault="004803AA" w:rsidP="004803AA">
      <w:pPr>
        <w:rPr>
          <w:lang w:val="fr-BE"/>
        </w:rPr>
      </w:pPr>
    </w:p>
    <w:p w14:paraId="5D316761" w14:textId="77777777" w:rsidR="004803AA" w:rsidRPr="00A103E3" w:rsidRDefault="004803AA" w:rsidP="004803AA">
      <w:pPr>
        <w:rPr>
          <w:lang w:val="fr-BE"/>
        </w:rPr>
      </w:pPr>
    </w:p>
    <w:p w14:paraId="4B57E2AF" w14:textId="77777777" w:rsidR="004803AA" w:rsidRPr="00C71D0C" w:rsidRDefault="004803AA" w:rsidP="004803AA">
      <w:pPr>
        <w:rPr>
          <w:rFonts w:ascii="Cambria" w:hAnsi="Cambria"/>
          <w:b/>
          <w:sz w:val="28"/>
          <w:szCs w:val="28"/>
          <w:lang w:val="fr-BE"/>
        </w:rPr>
      </w:pPr>
      <w:r>
        <w:rPr>
          <w:rFonts w:ascii="Cambria" w:hAnsi="Cambria"/>
          <w:b/>
          <w:sz w:val="28"/>
          <w:szCs w:val="28"/>
          <w:lang w:val="fr-BE"/>
        </w:rPr>
        <w:br w:type="page"/>
      </w:r>
      <w:r w:rsidRPr="00C71D0C">
        <w:rPr>
          <w:rFonts w:ascii="Cambria" w:hAnsi="Cambria"/>
          <w:b/>
          <w:sz w:val="28"/>
          <w:szCs w:val="28"/>
          <w:lang w:val="fr-BE"/>
        </w:rPr>
        <w:lastRenderedPageBreak/>
        <w:t>Exemple de critères de Limite de Sécurité Opérationnelle des réseaux de distribution</w:t>
      </w:r>
      <w:r>
        <w:rPr>
          <w:rFonts w:ascii="Cambria" w:hAnsi="Cambria"/>
          <w:b/>
          <w:sz w:val="28"/>
          <w:szCs w:val="28"/>
          <w:lang w:val="fr-BE"/>
        </w:rPr>
        <w:t xml:space="preserve"> (annexe informative)</w:t>
      </w:r>
    </w:p>
    <w:p w14:paraId="05A02360" w14:textId="77777777" w:rsidR="004803AA" w:rsidRPr="00DB23E0" w:rsidRDefault="004803AA" w:rsidP="004803AA">
      <w:pPr>
        <w:rPr>
          <w:lang w:val="fr-BE"/>
        </w:rPr>
      </w:pPr>
    </w:p>
    <w:p w14:paraId="6B79DE82" w14:textId="77777777" w:rsidR="004803AA" w:rsidRPr="00C32B81" w:rsidRDefault="004803AA" w:rsidP="004803AA">
      <w:pPr>
        <w:pStyle w:val="ORESTEXTE"/>
        <w:numPr>
          <w:ilvl w:val="0"/>
          <w:numId w:val="13"/>
        </w:numPr>
        <w:rPr>
          <w:rFonts w:cs="Arial"/>
          <w:u w:val="single"/>
          <w:lang w:val="fr-FR"/>
        </w:rPr>
      </w:pPr>
      <w:r w:rsidRPr="00C32B81">
        <w:rPr>
          <w:rFonts w:cs="Arial"/>
          <w:u w:val="single"/>
          <w:lang w:val="fr-FR"/>
        </w:rPr>
        <w:t>Terminologie :</w:t>
      </w:r>
    </w:p>
    <w:p w14:paraId="3D5A09C1" w14:textId="77777777" w:rsidR="004803AA" w:rsidRPr="00C32B81" w:rsidRDefault="004803AA" w:rsidP="004803AA">
      <w:pPr>
        <w:pStyle w:val="Paragraphedeliste"/>
        <w:numPr>
          <w:ilvl w:val="0"/>
          <w:numId w:val="3"/>
        </w:numPr>
        <w:autoSpaceDE w:val="0"/>
        <w:autoSpaceDN w:val="0"/>
        <w:adjustRightInd w:val="0"/>
        <w:rPr>
          <w:rFonts w:cs="Arial"/>
          <w:b/>
          <w:szCs w:val="20"/>
          <w:lang w:val="fr-BE"/>
        </w:rPr>
      </w:pPr>
      <w:r w:rsidRPr="00C32B81">
        <w:rPr>
          <w:rFonts w:cs="Arial"/>
          <w:b/>
          <w:szCs w:val="20"/>
          <w:lang w:val="fr-BE"/>
        </w:rPr>
        <w:t>Réseau en mode de fonctionnement dégradé</w:t>
      </w:r>
    </w:p>
    <w:p w14:paraId="4234F393" w14:textId="77777777" w:rsidR="004803AA" w:rsidRPr="00C32B81" w:rsidRDefault="004803AA" w:rsidP="004803AA">
      <w:pPr>
        <w:pStyle w:val="Paragraphedeliste"/>
        <w:numPr>
          <w:ilvl w:val="1"/>
          <w:numId w:val="3"/>
        </w:numPr>
        <w:autoSpaceDE w:val="0"/>
        <w:autoSpaceDN w:val="0"/>
        <w:adjustRightInd w:val="0"/>
        <w:rPr>
          <w:rFonts w:cs="Arial"/>
          <w:b/>
          <w:szCs w:val="20"/>
          <w:lang w:val="fr-BE"/>
        </w:rPr>
      </w:pPr>
      <w:r w:rsidRPr="00C32B81">
        <w:rPr>
          <w:rFonts w:cs="Arial"/>
          <w:szCs w:val="20"/>
          <w:lang w:val="fr-BE"/>
        </w:rPr>
        <w:t xml:space="preserve">Pour le réseau de distribution, le mode de fonctionnement dégradé correspond à toute situation de réseau avec indisponibilité d’un ou plusieurs éléments </w:t>
      </w:r>
      <w:r>
        <w:rPr>
          <w:rFonts w:cs="Arial"/>
          <w:szCs w:val="20"/>
          <w:lang w:val="fr-BE"/>
        </w:rPr>
        <w:t>du réseau de distribution ou d’une installation qui fait fonctionnellement partie du réseau de distribution</w:t>
      </w:r>
      <w:r w:rsidRPr="00C32B81">
        <w:rPr>
          <w:rFonts w:cs="Arial"/>
          <w:szCs w:val="20"/>
          <w:lang w:val="fr-BE"/>
        </w:rPr>
        <w:t xml:space="preserve">, que ce soit suite à une coupure planifiée pour un entretien ou suite à un incident. </w:t>
      </w:r>
      <w:r w:rsidRPr="00C32B81">
        <w:rPr>
          <w:rFonts w:cs="Arial"/>
          <w:szCs w:val="20"/>
        </w:rPr>
        <w:t>Par élément de réseau, on entend les éléments de type (liste non exhaustive) :</w:t>
      </w:r>
    </w:p>
    <w:p w14:paraId="04712CAB" w14:textId="77777777" w:rsidR="004803AA" w:rsidRPr="00C32B81" w:rsidRDefault="004803AA" w:rsidP="004803AA">
      <w:pPr>
        <w:numPr>
          <w:ilvl w:val="2"/>
          <w:numId w:val="6"/>
        </w:numPr>
        <w:jc w:val="both"/>
        <w:rPr>
          <w:rFonts w:cs="Arial"/>
          <w:szCs w:val="20"/>
          <w:lang w:val="fr-FR"/>
        </w:rPr>
      </w:pPr>
      <w:r w:rsidRPr="00C32B81">
        <w:rPr>
          <w:rFonts w:cs="Arial"/>
          <w:szCs w:val="20"/>
          <w:lang w:val="fr-FR"/>
        </w:rPr>
        <w:t xml:space="preserve">appareillage de coupure MT (disjoncteur, interrupteur, sectionneur…), </w:t>
      </w:r>
    </w:p>
    <w:p w14:paraId="04CB3C92" w14:textId="526A65C7" w:rsidR="004803AA" w:rsidRPr="00C32B81" w:rsidRDefault="004803AA" w:rsidP="004803AA">
      <w:pPr>
        <w:numPr>
          <w:ilvl w:val="2"/>
          <w:numId w:val="6"/>
        </w:numPr>
        <w:jc w:val="both"/>
        <w:rPr>
          <w:rFonts w:cs="Arial"/>
          <w:szCs w:val="20"/>
          <w:lang w:val="fr-FR"/>
        </w:rPr>
      </w:pPr>
      <w:r w:rsidRPr="00C32B81">
        <w:rPr>
          <w:rFonts w:cs="Arial"/>
          <w:szCs w:val="20"/>
          <w:lang w:val="fr-FR"/>
        </w:rPr>
        <w:t xml:space="preserve">ligne </w:t>
      </w:r>
      <w:r w:rsidR="001375EF">
        <w:rPr>
          <w:rFonts w:cs="Arial"/>
          <w:szCs w:val="20"/>
          <w:lang w:val="fr-FR"/>
        </w:rPr>
        <w:t>,</w:t>
      </w:r>
    </w:p>
    <w:p w14:paraId="03DF531B" w14:textId="4BE137DD" w:rsidR="004803AA" w:rsidRPr="00C32B81" w:rsidRDefault="004803AA" w:rsidP="004803AA">
      <w:pPr>
        <w:numPr>
          <w:ilvl w:val="2"/>
          <w:numId w:val="6"/>
        </w:numPr>
        <w:jc w:val="both"/>
        <w:rPr>
          <w:rFonts w:cs="Arial"/>
          <w:szCs w:val="20"/>
          <w:lang w:val="fr-FR"/>
        </w:rPr>
      </w:pPr>
      <w:r w:rsidRPr="00C32B81">
        <w:rPr>
          <w:rFonts w:cs="Arial"/>
          <w:szCs w:val="20"/>
          <w:lang w:val="fr-FR"/>
        </w:rPr>
        <w:t>câble ,</w:t>
      </w:r>
    </w:p>
    <w:p w14:paraId="2983F0C7" w14:textId="1A28FD04" w:rsidR="004803AA" w:rsidRPr="00C32B81" w:rsidRDefault="004803AA" w:rsidP="004803AA">
      <w:pPr>
        <w:numPr>
          <w:ilvl w:val="2"/>
          <w:numId w:val="6"/>
        </w:numPr>
        <w:jc w:val="both"/>
        <w:rPr>
          <w:rFonts w:cs="Arial"/>
          <w:szCs w:val="20"/>
          <w:lang w:val="fr-FR"/>
        </w:rPr>
      </w:pPr>
      <w:r w:rsidRPr="00C32B81">
        <w:rPr>
          <w:rFonts w:cs="Arial"/>
          <w:szCs w:val="20"/>
          <w:lang w:val="fr-FR"/>
        </w:rPr>
        <w:t>transformateur</w:t>
      </w:r>
      <w:r w:rsidR="001375EF">
        <w:rPr>
          <w:rFonts w:cs="Arial"/>
          <w:szCs w:val="20"/>
          <w:lang w:val="fr-FR"/>
        </w:rPr>
        <w:t>,</w:t>
      </w:r>
      <w:r w:rsidRPr="00C32B81">
        <w:rPr>
          <w:rFonts w:cs="Arial"/>
          <w:szCs w:val="20"/>
          <w:lang w:val="fr-FR"/>
        </w:rPr>
        <w:t xml:space="preserve"> </w:t>
      </w:r>
    </w:p>
    <w:p w14:paraId="45B8BE16" w14:textId="7A23066B" w:rsidR="004803AA" w:rsidRPr="00C32B81" w:rsidRDefault="004803AA" w:rsidP="004803AA">
      <w:pPr>
        <w:numPr>
          <w:ilvl w:val="2"/>
          <w:numId w:val="6"/>
        </w:numPr>
        <w:jc w:val="both"/>
        <w:rPr>
          <w:rFonts w:cs="Arial"/>
          <w:szCs w:val="20"/>
          <w:lang w:val="fr-FR"/>
        </w:rPr>
      </w:pPr>
      <w:r w:rsidRPr="00C32B81">
        <w:rPr>
          <w:rFonts w:cs="Arial"/>
          <w:szCs w:val="20"/>
          <w:lang w:val="fr-FR"/>
        </w:rPr>
        <w:t>un élément du réseau télécom</w:t>
      </w:r>
      <w:r w:rsidR="001375EF">
        <w:rPr>
          <w:rFonts w:cs="Arial"/>
          <w:szCs w:val="20"/>
          <w:lang w:val="fr-FR"/>
        </w:rPr>
        <w:t>,</w:t>
      </w:r>
    </w:p>
    <w:p w14:paraId="5B6129E2" w14:textId="0116184F" w:rsidR="004803AA" w:rsidRPr="00C32B81" w:rsidRDefault="004803AA" w:rsidP="004803AA">
      <w:pPr>
        <w:numPr>
          <w:ilvl w:val="2"/>
          <w:numId w:val="6"/>
        </w:numPr>
        <w:jc w:val="both"/>
        <w:rPr>
          <w:rFonts w:cs="Arial"/>
          <w:szCs w:val="20"/>
          <w:lang w:val="fr-FR"/>
        </w:rPr>
      </w:pPr>
      <w:r w:rsidRPr="00C32B81">
        <w:rPr>
          <w:rFonts w:cs="Arial"/>
          <w:szCs w:val="20"/>
          <w:lang w:val="fr-FR"/>
        </w:rPr>
        <w:t>les automates de commande et/ou protection</w:t>
      </w:r>
      <w:r w:rsidR="001375EF">
        <w:rPr>
          <w:rFonts w:cs="Arial"/>
          <w:szCs w:val="20"/>
          <w:lang w:val="fr-FR"/>
        </w:rPr>
        <w:t>,</w:t>
      </w:r>
    </w:p>
    <w:p w14:paraId="39909F6A" w14:textId="317F533A" w:rsidR="004803AA" w:rsidRPr="00C32B81" w:rsidRDefault="004803AA" w:rsidP="004803AA">
      <w:pPr>
        <w:numPr>
          <w:ilvl w:val="2"/>
          <w:numId w:val="6"/>
        </w:numPr>
        <w:jc w:val="both"/>
        <w:rPr>
          <w:rFonts w:cs="Arial"/>
          <w:szCs w:val="20"/>
          <w:lang w:val="fr-FR"/>
        </w:rPr>
      </w:pPr>
      <w:r w:rsidRPr="00C32B81">
        <w:rPr>
          <w:rFonts w:cs="Arial"/>
          <w:szCs w:val="20"/>
          <w:lang w:val="fr-FR"/>
        </w:rPr>
        <w:t xml:space="preserve">jeu de barres ou d’un couplage au poste </w:t>
      </w:r>
      <w:r w:rsidR="001375EF">
        <w:rPr>
          <w:rFonts w:cs="Arial"/>
          <w:szCs w:val="20"/>
          <w:lang w:val="fr-FR"/>
        </w:rPr>
        <w:t>de transformation</w:t>
      </w:r>
      <w:r w:rsidR="0061321F">
        <w:rPr>
          <w:rFonts w:cs="Arial"/>
          <w:szCs w:val="20"/>
          <w:lang w:val="fr-FR"/>
        </w:rPr>
        <w:t>,</w:t>
      </w:r>
      <w:r w:rsidR="001375EF">
        <w:rPr>
          <w:rFonts w:cs="Arial"/>
          <w:szCs w:val="20"/>
          <w:lang w:val="fr-FR"/>
        </w:rPr>
        <w:t xml:space="preserve"> </w:t>
      </w:r>
      <w:r w:rsidRPr="00C32B81">
        <w:rPr>
          <w:rFonts w:cs="Arial"/>
          <w:szCs w:val="20"/>
          <w:lang w:val="fr-FR"/>
        </w:rPr>
        <w:t xml:space="preserve"> </w:t>
      </w:r>
    </w:p>
    <w:p w14:paraId="7C4076F4" w14:textId="3FF28E50" w:rsidR="004803AA" w:rsidRPr="00C32B81" w:rsidRDefault="004803AA" w:rsidP="004803AA">
      <w:pPr>
        <w:numPr>
          <w:ilvl w:val="2"/>
          <w:numId w:val="6"/>
        </w:numPr>
        <w:jc w:val="both"/>
        <w:rPr>
          <w:rFonts w:cs="Arial"/>
          <w:szCs w:val="20"/>
          <w:lang w:val="fr-FR"/>
        </w:rPr>
      </w:pPr>
      <w:r w:rsidRPr="00C32B81">
        <w:rPr>
          <w:rFonts w:cs="Arial"/>
          <w:szCs w:val="20"/>
          <w:lang w:val="fr-FR"/>
        </w:rPr>
        <w:t>jeu de barres ou d’un couplage à la cabine de tête du client</w:t>
      </w:r>
      <w:r w:rsidR="0061321F">
        <w:rPr>
          <w:rFonts w:cs="Arial"/>
          <w:szCs w:val="20"/>
          <w:lang w:val="fr-FR"/>
        </w:rPr>
        <w:t>,</w:t>
      </w:r>
    </w:p>
    <w:p w14:paraId="5020597D" w14:textId="3EEFE809" w:rsidR="004803AA" w:rsidRPr="00C32B81" w:rsidRDefault="004803AA" w:rsidP="004803AA">
      <w:pPr>
        <w:numPr>
          <w:ilvl w:val="2"/>
          <w:numId w:val="6"/>
        </w:numPr>
        <w:jc w:val="both"/>
        <w:rPr>
          <w:rFonts w:cs="Arial"/>
          <w:szCs w:val="20"/>
          <w:lang w:val="fr-FR"/>
        </w:rPr>
      </w:pPr>
      <w:r w:rsidRPr="00C32B81">
        <w:rPr>
          <w:rFonts w:cs="Arial"/>
          <w:szCs w:val="20"/>
          <w:lang w:val="fr-FR"/>
        </w:rPr>
        <w:t>tout élément non conduit et/ou non opéré par le GRD</w:t>
      </w:r>
      <w:r w:rsidR="0061321F">
        <w:rPr>
          <w:rFonts w:cs="Arial"/>
          <w:szCs w:val="20"/>
          <w:lang w:val="fr-FR"/>
        </w:rPr>
        <w:t>,</w:t>
      </w:r>
    </w:p>
    <w:p w14:paraId="0415EB27" w14:textId="19E69043" w:rsidR="004803AA" w:rsidRDefault="004803AA" w:rsidP="004803AA">
      <w:pPr>
        <w:numPr>
          <w:ilvl w:val="2"/>
          <w:numId w:val="6"/>
        </w:numPr>
        <w:jc w:val="both"/>
        <w:rPr>
          <w:rFonts w:cs="Arial"/>
          <w:szCs w:val="20"/>
          <w:lang w:val="fr-FR"/>
        </w:rPr>
      </w:pPr>
      <w:r w:rsidRPr="00C32B81">
        <w:rPr>
          <w:rFonts w:cs="Arial"/>
          <w:szCs w:val="20"/>
          <w:lang w:val="fr-FR"/>
        </w:rPr>
        <w:t>…</w:t>
      </w:r>
    </w:p>
    <w:p w14:paraId="3D391981" w14:textId="77777777" w:rsidR="0061321F" w:rsidRPr="00C32B81" w:rsidRDefault="0061321F" w:rsidP="0061321F">
      <w:pPr>
        <w:ind w:left="2160"/>
        <w:jc w:val="both"/>
        <w:rPr>
          <w:rFonts w:cs="Arial"/>
          <w:szCs w:val="20"/>
          <w:lang w:val="fr-FR"/>
        </w:rPr>
      </w:pPr>
    </w:p>
    <w:p w14:paraId="57EAE95E" w14:textId="77777777" w:rsidR="004803AA" w:rsidRPr="00C32B81" w:rsidRDefault="004803AA" w:rsidP="004803AA">
      <w:pPr>
        <w:pStyle w:val="Paragraphedeliste"/>
        <w:numPr>
          <w:ilvl w:val="0"/>
          <w:numId w:val="3"/>
        </w:numPr>
        <w:autoSpaceDE w:val="0"/>
        <w:autoSpaceDN w:val="0"/>
        <w:adjustRightInd w:val="0"/>
        <w:rPr>
          <w:rFonts w:cs="Arial"/>
          <w:b/>
          <w:szCs w:val="20"/>
          <w:lang w:val="fr-BE"/>
        </w:rPr>
      </w:pPr>
      <w:r w:rsidRPr="00C32B81">
        <w:rPr>
          <w:rFonts w:cs="Arial"/>
          <w:b/>
          <w:szCs w:val="20"/>
          <w:lang w:val="fr-BE"/>
        </w:rPr>
        <w:t>Réseau en mode de fonctionnement normal</w:t>
      </w:r>
    </w:p>
    <w:p w14:paraId="6A07AFCF" w14:textId="77777777" w:rsidR="004803AA" w:rsidRPr="00C32B81" w:rsidRDefault="004803AA" w:rsidP="004803AA">
      <w:pPr>
        <w:pStyle w:val="Paragraphedeliste"/>
        <w:numPr>
          <w:ilvl w:val="1"/>
          <w:numId w:val="3"/>
        </w:numPr>
        <w:autoSpaceDE w:val="0"/>
        <w:autoSpaceDN w:val="0"/>
        <w:adjustRightInd w:val="0"/>
        <w:rPr>
          <w:rFonts w:cs="Arial"/>
          <w:szCs w:val="20"/>
          <w:lang w:val="fr-BE"/>
        </w:rPr>
      </w:pPr>
      <w:r w:rsidRPr="00C32B81">
        <w:rPr>
          <w:rFonts w:cs="Arial"/>
          <w:szCs w:val="20"/>
          <w:lang w:val="fr-BE"/>
        </w:rPr>
        <w:t>Pour le réseau de distribution, le mode de fonctionnement normal correspond à toute situation de réseau où tous les éléments du réseau du GRD sont disponibles.</w:t>
      </w:r>
    </w:p>
    <w:p w14:paraId="43F09149" w14:textId="77777777" w:rsidR="004803AA" w:rsidRPr="00095D0D" w:rsidRDefault="004803AA" w:rsidP="004803AA">
      <w:pPr>
        <w:pStyle w:val="Paragraphedeliste"/>
        <w:autoSpaceDE w:val="0"/>
        <w:autoSpaceDN w:val="0"/>
        <w:adjustRightInd w:val="0"/>
        <w:ind w:left="1440"/>
        <w:rPr>
          <w:rFonts w:cs="Arial"/>
          <w:sz w:val="22"/>
          <w:szCs w:val="22"/>
          <w:lang w:val="fr-BE"/>
        </w:rPr>
      </w:pPr>
    </w:p>
    <w:p w14:paraId="7F02655F" w14:textId="77777777" w:rsidR="004803AA" w:rsidRPr="00C32B81" w:rsidRDefault="004803AA" w:rsidP="004803AA">
      <w:pPr>
        <w:pStyle w:val="ORESTEXTE"/>
        <w:numPr>
          <w:ilvl w:val="0"/>
          <w:numId w:val="13"/>
        </w:numPr>
        <w:rPr>
          <w:u w:val="single"/>
        </w:rPr>
      </w:pPr>
      <w:r w:rsidRPr="00C32B81">
        <w:rPr>
          <w:u w:val="single"/>
        </w:rPr>
        <w:t>Critères de Limite de sécurité Opérationnelle</w:t>
      </w:r>
    </w:p>
    <w:p w14:paraId="19F7F522" w14:textId="7CA8AA90" w:rsidR="004803AA" w:rsidRDefault="004803AA" w:rsidP="004803AA">
      <w:pPr>
        <w:pStyle w:val="ORESTEXTE"/>
        <w:rPr>
          <w:lang w:val="fr-FR"/>
        </w:rPr>
      </w:pPr>
      <w:r>
        <w:rPr>
          <w:lang w:val="fr-FR"/>
        </w:rPr>
        <w:t>La sécurité</w:t>
      </w:r>
      <w:r w:rsidRPr="00DD791B">
        <w:rPr>
          <w:lang w:val="fr-FR"/>
        </w:rPr>
        <w:t xml:space="preserve"> Opérat</w:t>
      </w:r>
      <w:r>
        <w:rPr>
          <w:lang w:val="fr-FR"/>
        </w:rPr>
        <w:t>ionnelle signifie la capacité d’un</w:t>
      </w:r>
      <w:r w:rsidRPr="00DD791B">
        <w:rPr>
          <w:lang w:val="fr-FR"/>
        </w:rPr>
        <w:t xml:space="preserve"> Système </w:t>
      </w:r>
      <w:r>
        <w:rPr>
          <w:lang w:val="fr-FR"/>
        </w:rPr>
        <w:t>électrique de Distribution à</w:t>
      </w:r>
      <w:r w:rsidRPr="00DD791B">
        <w:rPr>
          <w:lang w:val="fr-FR"/>
        </w:rPr>
        <w:t xml:space="preserve"> conserver</w:t>
      </w:r>
      <w:r>
        <w:rPr>
          <w:lang w:val="fr-FR"/>
        </w:rPr>
        <w:t xml:space="preserve"> ou à maintenir un mode de fonctionnement normal ou retourner à un tel mode </w:t>
      </w:r>
      <w:r w:rsidRPr="00DD791B">
        <w:rPr>
          <w:lang w:val="fr-FR"/>
        </w:rPr>
        <w:t>et est caractérisée par des limites thermiques, des contraintes de tension</w:t>
      </w:r>
      <w:r>
        <w:rPr>
          <w:lang w:val="fr-FR"/>
        </w:rPr>
        <w:t xml:space="preserve"> et de puissance de </w:t>
      </w:r>
      <w:r w:rsidRPr="00DD791B">
        <w:rPr>
          <w:lang w:val="fr-FR"/>
        </w:rPr>
        <w:t>court-circu</w:t>
      </w:r>
      <w:r>
        <w:rPr>
          <w:lang w:val="fr-FR"/>
        </w:rPr>
        <w:t>it</w:t>
      </w:r>
      <w:r w:rsidR="00DA1893">
        <w:rPr>
          <w:lang w:val="fr-FR"/>
        </w:rPr>
        <w:t>.</w:t>
      </w:r>
    </w:p>
    <w:p w14:paraId="5883EA7F" w14:textId="1E342376" w:rsidR="004803AA" w:rsidRDefault="004803AA" w:rsidP="004803AA">
      <w:pPr>
        <w:pStyle w:val="ORESTEXTE"/>
        <w:rPr>
          <w:lang w:val="fr-FR"/>
        </w:rPr>
      </w:pPr>
    </w:p>
    <w:p w14:paraId="20BF4CCF" w14:textId="77777777" w:rsidR="00143677" w:rsidRPr="00063FB2" w:rsidRDefault="00143677" w:rsidP="00143677">
      <w:pPr>
        <w:pStyle w:val="ORESTEXTE"/>
        <w:rPr>
          <w:lang w:val="fr-FR"/>
        </w:rPr>
      </w:pPr>
      <w:r w:rsidRPr="00063FB2">
        <w:rPr>
          <w:lang w:val="fr-FR"/>
        </w:rPr>
        <w:t>Quelles que soient les critères proposés ici pour cadrer la sécurité opérationnelle du réseau de distribution, c</w:t>
      </w:r>
      <w:r>
        <w:rPr>
          <w:lang w:val="fr-FR"/>
        </w:rPr>
        <w:t>haque URD doit toujours respecter les conditions de raccordement</w:t>
      </w:r>
      <w:r w:rsidRPr="00063FB2">
        <w:rPr>
          <w:lang w:val="fr-FR"/>
        </w:rPr>
        <w:t xml:space="preserve">, </w:t>
      </w:r>
      <w:r>
        <w:rPr>
          <w:lang w:val="fr-FR"/>
        </w:rPr>
        <w:t xml:space="preserve">y </w:t>
      </w:r>
      <w:proofErr w:type="spellStart"/>
      <w:r>
        <w:rPr>
          <w:lang w:val="fr-FR"/>
        </w:rPr>
        <w:t>compirs</w:t>
      </w:r>
      <w:proofErr w:type="spellEnd"/>
      <w:r>
        <w:rPr>
          <w:lang w:val="fr-FR"/>
        </w:rPr>
        <w:t xml:space="preserve"> les éléments décrits dans le chapitre </w:t>
      </w:r>
      <w:r w:rsidRPr="005F10C8">
        <w:rPr>
          <w:i/>
          <w:iCs/>
          <w:lang w:val="fr-FR"/>
        </w:rPr>
        <w:t>Conformité technique de l’installation</w:t>
      </w:r>
      <w:r w:rsidRPr="00DC1EFE">
        <w:rPr>
          <w:lang w:val="fr-FR"/>
        </w:rPr>
        <w:t xml:space="preserve"> </w:t>
      </w:r>
      <w:r>
        <w:rPr>
          <w:lang w:val="fr-FR"/>
        </w:rPr>
        <w:t>de la présente Annexe.</w:t>
      </w:r>
    </w:p>
    <w:p w14:paraId="65F26E73" w14:textId="77777777" w:rsidR="00143677" w:rsidRPr="00063FB2" w:rsidRDefault="00143677" w:rsidP="00143677">
      <w:pPr>
        <w:pStyle w:val="ORESTEXTE"/>
        <w:rPr>
          <w:lang w:val="fr-FR"/>
        </w:rPr>
      </w:pPr>
    </w:p>
    <w:p w14:paraId="20841609" w14:textId="77777777" w:rsidR="00143677" w:rsidRPr="004B1591" w:rsidRDefault="00143677" w:rsidP="00143677">
      <w:pPr>
        <w:pStyle w:val="ORESTEXTE"/>
      </w:pPr>
      <w:r w:rsidRPr="004B1591">
        <w:t>La concrétisation de ces c</w:t>
      </w:r>
      <w:r>
        <w:t xml:space="preserve">ritères au moyen des limites techniques est évidemment indépendante de la cause qui met en danger la sécurité opérationnelle. A cet égard, les conditions de raccordement du GRD sont également basées sur ces mêmes limites opérationnelles.   </w:t>
      </w:r>
    </w:p>
    <w:p w14:paraId="064E0C19" w14:textId="77777777" w:rsidR="00143677" w:rsidRDefault="00143677" w:rsidP="00143677">
      <w:pPr>
        <w:pStyle w:val="ORESTEXTE"/>
      </w:pPr>
      <w:r w:rsidRPr="00DA4442">
        <w:t>Dans une situation d’urgence, quand la sécurité opérationnelle o</w:t>
      </w:r>
      <w:r>
        <w:t xml:space="preserve">u la fiabilité du réseau électrique de distribution se trouve ou risque de se trouver dans un danger immédiat, le GRD peut prendre toutes les mesures exceptionnelles et temporaires qu’il juge nécessaire en vue de la sécurité, la fiabilité, la qualité et la disponibilité du réseau électrique de distribution, ou pour éviter d’autres dommages. </w:t>
      </w:r>
    </w:p>
    <w:p w14:paraId="7B32D0BA" w14:textId="77777777" w:rsidR="00143677" w:rsidRPr="000F4255" w:rsidRDefault="00143677" w:rsidP="00143677">
      <w:pPr>
        <w:pStyle w:val="ORESTEXTE"/>
      </w:pPr>
      <w:r>
        <w:t xml:space="preserve">Lors d’utilisation de ces critères dans le cadre de la flexibilité une certaine marge doit être appliquée pour continuer à pouvoir soutenir le comportement ‘normal’. </w:t>
      </w:r>
      <w:r w:rsidRPr="006A52D6">
        <w:t>Cette marge de sécurité permet au GRD d’être al</w:t>
      </w:r>
      <w:r>
        <w:t>e</w:t>
      </w:r>
      <w:r w:rsidRPr="006A52D6">
        <w:t>r</w:t>
      </w:r>
      <w:r>
        <w:t>t</w:t>
      </w:r>
      <w:r w:rsidRPr="006A52D6">
        <w:t xml:space="preserve">é à temps et de prendre des actions correctives avant de </w:t>
      </w:r>
      <w:r>
        <w:t xml:space="preserve">quitter le mode opérationnel normal. </w:t>
      </w:r>
      <w:r w:rsidRPr="00C85185">
        <w:t xml:space="preserve">Des mesures peuvent également être déterminées </w:t>
      </w:r>
      <w:r>
        <w:t xml:space="preserve">pour </w:t>
      </w:r>
      <w:r w:rsidRPr="00C85185">
        <w:t>garant</w:t>
      </w:r>
      <w:r>
        <w:t>ir le respect des critères</w:t>
      </w:r>
      <w:r w:rsidRPr="000F4255">
        <w:t>.</w:t>
      </w:r>
    </w:p>
    <w:p w14:paraId="677E71DE" w14:textId="77777777" w:rsidR="00143677" w:rsidRPr="000F4255" w:rsidRDefault="00143677" w:rsidP="00143677">
      <w:pPr>
        <w:pStyle w:val="ORESTEXTE"/>
      </w:pPr>
    </w:p>
    <w:p w14:paraId="78E34D0D" w14:textId="77777777" w:rsidR="00143677" w:rsidRPr="00810AA1" w:rsidRDefault="00143677" w:rsidP="00143677">
      <w:pPr>
        <w:pStyle w:val="ORESTEXTE"/>
      </w:pPr>
      <w:r w:rsidRPr="00810AA1">
        <w:t xml:space="preserve">Les limites techniques appliquées peuvent être différentes selon le </w:t>
      </w:r>
      <w:r>
        <w:t>mode opérationnel dans lequel se trouve le réseau.</w:t>
      </w:r>
    </w:p>
    <w:p w14:paraId="514121A9" w14:textId="77777777" w:rsidR="00143677" w:rsidRPr="00143677" w:rsidRDefault="00143677" w:rsidP="004803AA">
      <w:pPr>
        <w:pStyle w:val="ORESTEXTE"/>
      </w:pPr>
    </w:p>
    <w:p w14:paraId="1E1B06B9" w14:textId="77777777" w:rsidR="00FC59D3" w:rsidRDefault="004803AA" w:rsidP="00FC59D3">
      <w:pPr>
        <w:pStyle w:val="ORESTEXTE"/>
        <w:rPr>
          <w:lang w:val="fr-FR"/>
        </w:rPr>
      </w:pPr>
      <w:r>
        <w:rPr>
          <w:lang w:val="fr-FR"/>
        </w:rPr>
        <w:t>Outre la sécurité des personnes, ces Limites de sécurité opérationnelles sont définies dans le cadre de la flexibilité comme suit :</w:t>
      </w:r>
    </w:p>
    <w:p w14:paraId="132B4E7F" w14:textId="77777777" w:rsidR="00FC59D3" w:rsidRDefault="004803AA" w:rsidP="00FC59D3">
      <w:pPr>
        <w:pStyle w:val="ORESTEXTE"/>
        <w:numPr>
          <w:ilvl w:val="0"/>
          <w:numId w:val="3"/>
        </w:numPr>
        <w:tabs>
          <w:tab w:val="clear" w:pos="482"/>
        </w:tabs>
        <w:rPr>
          <w:lang w:val="fr-FR"/>
        </w:rPr>
      </w:pPr>
      <w:r>
        <w:t xml:space="preserve">La puissance de court-circuit en tout point du réseau de distribution ne peut dépasser les limites </w:t>
      </w:r>
      <w:r>
        <w:rPr>
          <w:lang w:val="fr-FR"/>
        </w:rPr>
        <w:t>constructives des équipements.</w:t>
      </w:r>
    </w:p>
    <w:p w14:paraId="4B226EBD" w14:textId="77777777" w:rsidR="00FC59D3" w:rsidRDefault="004803AA" w:rsidP="00FC59D3">
      <w:pPr>
        <w:pStyle w:val="ORESTEXTE"/>
        <w:numPr>
          <w:ilvl w:val="0"/>
          <w:numId w:val="3"/>
        </w:numPr>
        <w:tabs>
          <w:tab w:val="clear" w:pos="482"/>
        </w:tabs>
        <w:rPr>
          <w:lang w:val="fr-FR"/>
        </w:rPr>
      </w:pPr>
      <w:r w:rsidRPr="00FC59D3">
        <w:rPr>
          <w:lang w:val="fr-FR"/>
        </w:rPr>
        <w:t xml:space="preserve">La puissance échangée au </w:t>
      </w:r>
      <w:r>
        <w:t>Point d’interconnexion GRT-GRD est compatible avec les contraintes du GRT.</w:t>
      </w:r>
    </w:p>
    <w:p w14:paraId="10A4F9E7" w14:textId="7CC2757E" w:rsidR="004803AA" w:rsidRPr="00FC59D3" w:rsidRDefault="004803AA" w:rsidP="00FC59D3">
      <w:pPr>
        <w:pStyle w:val="ORESTEXTE"/>
        <w:numPr>
          <w:ilvl w:val="0"/>
          <w:numId w:val="3"/>
        </w:numPr>
        <w:tabs>
          <w:tab w:val="clear" w:pos="482"/>
        </w:tabs>
        <w:rPr>
          <w:lang w:val="fr-FR"/>
        </w:rPr>
      </w:pPr>
      <w:r w:rsidRPr="00FC59D3">
        <w:rPr>
          <w:lang w:val="fr-FR"/>
        </w:rPr>
        <w:t>Le courant transitant dans les équipements ne peut dépasser les capacités constructives des équipements, principalement</w:t>
      </w:r>
    </w:p>
    <w:p w14:paraId="2413C439" w14:textId="77777777" w:rsidR="004803AA" w:rsidRPr="00054CFF" w:rsidRDefault="004803AA" w:rsidP="004803AA">
      <w:pPr>
        <w:pStyle w:val="ORESTEXTE"/>
        <w:numPr>
          <w:ilvl w:val="1"/>
          <w:numId w:val="4"/>
        </w:numPr>
      </w:pPr>
      <w:r>
        <w:lastRenderedPageBreak/>
        <w:t xml:space="preserve">En réseau en mode de fonctionnement normal, la </w:t>
      </w:r>
      <w:r w:rsidRPr="00054CFF">
        <w:t xml:space="preserve">capacité constructive des équipements </w:t>
      </w:r>
      <w:r>
        <w:t xml:space="preserve">à considérer </w:t>
      </w:r>
      <w:r w:rsidRPr="00054CFF">
        <w:t xml:space="preserve">correspond, selon le profil de charge (attendu ou mesuré), au </w:t>
      </w:r>
      <w:r>
        <w:t>courant</w:t>
      </w:r>
      <w:r w:rsidRPr="00054CFF">
        <w:t xml:space="preserve"> cyclique normal ou </w:t>
      </w:r>
      <w:r>
        <w:t>courant</w:t>
      </w:r>
      <w:r w:rsidRPr="00054CFF">
        <w:t xml:space="preserve"> permanent.</w:t>
      </w:r>
    </w:p>
    <w:p w14:paraId="255B861E" w14:textId="2F9BA8D2" w:rsidR="004803AA" w:rsidRDefault="004803AA" w:rsidP="004803AA">
      <w:pPr>
        <w:pStyle w:val="ORESTEXTE"/>
        <w:numPr>
          <w:ilvl w:val="1"/>
          <w:numId w:val="4"/>
        </w:numPr>
        <w:rPr>
          <w:lang w:val="fr-FR"/>
        </w:rPr>
      </w:pPr>
      <w:r>
        <w:t>En réseau en mode dégradé, l</w:t>
      </w:r>
      <w:r>
        <w:rPr>
          <w:lang w:val="fr-FR"/>
        </w:rPr>
        <w:t>a capacité constructive des équipements à considérer correspond, selon le profil de charge (attendu ou mesuré), au courant cyclique secours ou courant permanent</w:t>
      </w:r>
      <w:r w:rsidR="00143677">
        <w:rPr>
          <w:lang w:val="fr-FR"/>
        </w:rPr>
        <w:t>.</w:t>
      </w:r>
    </w:p>
    <w:p w14:paraId="41494D0C" w14:textId="77777777" w:rsidR="00FC59D3" w:rsidRDefault="00976F86" w:rsidP="00FC59D3">
      <w:pPr>
        <w:pStyle w:val="ORESTEXTE"/>
        <w:numPr>
          <w:ilvl w:val="0"/>
          <w:numId w:val="3"/>
        </w:numPr>
        <w:tabs>
          <w:tab w:val="clear" w:pos="482"/>
        </w:tabs>
        <w:rPr>
          <w:lang w:val="fr-FR"/>
        </w:rPr>
      </w:pPr>
      <w:r>
        <w:rPr>
          <w:lang w:val="fr-FR"/>
        </w:rPr>
        <w:t xml:space="preserve">Le </w:t>
      </w:r>
      <w:proofErr w:type="spellStart"/>
      <w:r>
        <w:rPr>
          <w:lang w:val="fr-FR"/>
        </w:rPr>
        <w:t>deséquilibre</w:t>
      </w:r>
      <w:proofErr w:type="spellEnd"/>
      <w:r>
        <w:rPr>
          <w:lang w:val="fr-FR"/>
        </w:rPr>
        <w:t xml:space="preserve"> entre phases sur le réseau basse tension doit rester limité.</w:t>
      </w:r>
    </w:p>
    <w:p w14:paraId="754BF80D" w14:textId="77777777" w:rsidR="00FC59D3" w:rsidRDefault="004803AA" w:rsidP="00FC59D3">
      <w:pPr>
        <w:pStyle w:val="ORESTEXTE"/>
        <w:numPr>
          <w:ilvl w:val="0"/>
          <w:numId w:val="3"/>
        </w:numPr>
        <w:tabs>
          <w:tab w:val="clear" w:pos="482"/>
        </w:tabs>
        <w:rPr>
          <w:lang w:val="fr-FR"/>
        </w:rPr>
      </w:pPr>
      <w:r w:rsidRPr="00FC59D3">
        <w:rPr>
          <w:lang w:val="fr-FR"/>
        </w:rPr>
        <w:t>Le niveau de tension et les variations de la tension pour les utilisateurs finaux (tant en MT qu’en BT) sont compatibles avec la norme EN 50160</w:t>
      </w:r>
      <w:r w:rsidR="00976F86" w:rsidRPr="00FC59D3">
        <w:rPr>
          <w:lang w:val="fr-FR"/>
        </w:rPr>
        <w:t xml:space="preserve">. </w:t>
      </w:r>
    </w:p>
    <w:p w14:paraId="61D0E49A" w14:textId="77777777" w:rsidR="00FC59D3" w:rsidRDefault="000B7B58" w:rsidP="00FC59D3">
      <w:pPr>
        <w:pStyle w:val="ORESTEXTE"/>
        <w:tabs>
          <w:tab w:val="clear" w:pos="482"/>
        </w:tabs>
        <w:ind w:left="720"/>
        <w:rPr>
          <w:lang w:val="fr-FR"/>
        </w:rPr>
      </w:pPr>
      <w:r w:rsidRPr="00FC59D3">
        <w:rPr>
          <w:lang w:val="fr-FR"/>
        </w:rPr>
        <w:t>A cet égard, il est entre autres tenu compte des variations de tension sur le réseau.</w:t>
      </w:r>
    </w:p>
    <w:p w14:paraId="54A0B090" w14:textId="77777777" w:rsidR="00FC59D3" w:rsidRDefault="002D40CC" w:rsidP="00FC59D3">
      <w:pPr>
        <w:pStyle w:val="ORESTEXTE"/>
        <w:tabs>
          <w:tab w:val="clear" w:pos="482"/>
        </w:tabs>
        <w:ind w:left="720"/>
        <w:rPr>
          <w:lang w:val="fr-FR"/>
        </w:rPr>
      </w:pPr>
      <w:r w:rsidRPr="00DA72BA">
        <w:rPr>
          <w:lang w:val="fr-FR"/>
        </w:rPr>
        <w:t xml:space="preserve">Il faut </w:t>
      </w:r>
      <w:r>
        <w:rPr>
          <w:lang w:val="fr-FR"/>
        </w:rPr>
        <w:t xml:space="preserve">également </w:t>
      </w:r>
      <w:r w:rsidRPr="00DA72BA">
        <w:rPr>
          <w:lang w:val="fr-FR"/>
        </w:rPr>
        <w:t>pr</w:t>
      </w:r>
      <w:r>
        <w:rPr>
          <w:lang w:val="fr-FR"/>
        </w:rPr>
        <w:t>ê</w:t>
      </w:r>
      <w:r w:rsidRPr="00DA72BA">
        <w:rPr>
          <w:lang w:val="fr-FR"/>
        </w:rPr>
        <w:t>te</w:t>
      </w:r>
      <w:r>
        <w:rPr>
          <w:lang w:val="fr-FR"/>
        </w:rPr>
        <w:t xml:space="preserve">r </w:t>
      </w:r>
      <w:r w:rsidRPr="00DA72BA">
        <w:rPr>
          <w:lang w:val="fr-FR"/>
        </w:rPr>
        <w:t>attention aux effets négatifs d’un courant fluctuant, c</w:t>
      </w:r>
      <w:r>
        <w:rPr>
          <w:lang w:val="fr-FR"/>
        </w:rPr>
        <w:t xml:space="preserve">omme le </w:t>
      </w:r>
      <w:r w:rsidRPr="00DA72BA">
        <w:rPr>
          <w:lang w:val="fr-FR"/>
        </w:rPr>
        <w:t>flicker e</w:t>
      </w:r>
      <w:r>
        <w:rPr>
          <w:lang w:val="fr-FR"/>
        </w:rPr>
        <w:t>t</w:t>
      </w:r>
      <w:r w:rsidRPr="00DA72BA">
        <w:rPr>
          <w:lang w:val="fr-FR"/>
        </w:rPr>
        <w:t xml:space="preserve"> </w:t>
      </w:r>
      <w:r>
        <w:rPr>
          <w:lang w:val="fr-FR"/>
        </w:rPr>
        <w:t>la tension harmonique</w:t>
      </w:r>
      <w:r w:rsidRPr="00DA72BA">
        <w:rPr>
          <w:lang w:val="fr-FR"/>
        </w:rPr>
        <w:t xml:space="preserve">, </w:t>
      </w:r>
      <w:r>
        <w:rPr>
          <w:lang w:val="fr-FR"/>
        </w:rPr>
        <w:t xml:space="preserve">avec des aggravations possibles à long terme. </w:t>
      </w:r>
      <w:r w:rsidRPr="00B1641F">
        <w:rPr>
          <w:lang w:val="fr-FR"/>
        </w:rPr>
        <w:t>Si le GRD constate de telles effets, il prend contact av</w:t>
      </w:r>
      <w:r>
        <w:rPr>
          <w:lang w:val="fr-FR"/>
        </w:rPr>
        <w:t>ec l’auteur responsable selon la réglementation en vigueur.</w:t>
      </w:r>
    </w:p>
    <w:p w14:paraId="1581A163" w14:textId="77777777" w:rsidR="00FC59D3" w:rsidRDefault="004803AA" w:rsidP="00FC59D3">
      <w:pPr>
        <w:pStyle w:val="ORESTEXTE"/>
        <w:numPr>
          <w:ilvl w:val="0"/>
          <w:numId w:val="3"/>
        </w:numPr>
        <w:tabs>
          <w:tab w:val="clear" w:pos="482"/>
        </w:tabs>
        <w:rPr>
          <w:lang w:val="fr-FR"/>
        </w:rPr>
      </w:pPr>
      <w:r w:rsidRPr="00C32B81">
        <w:rPr>
          <w:lang w:val="fr-FR"/>
        </w:rPr>
        <w:t>Le déplacement du point neutre est fortement limité (20%)</w:t>
      </w:r>
    </w:p>
    <w:p w14:paraId="1F5B207B" w14:textId="77777777" w:rsidR="00FC59D3" w:rsidRDefault="00912311" w:rsidP="00FC59D3">
      <w:pPr>
        <w:pStyle w:val="ORESTEXTE"/>
        <w:numPr>
          <w:ilvl w:val="0"/>
          <w:numId w:val="3"/>
        </w:numPr>
        <w:tabs>
          <w:tab w:val="clear" w:pos="482"/>
        </w:tabs>
        <w:rPr>
          <w:lang w:val="fr-FR"/>
        </w:rPr>
      </w:pPr>
      <w:r w:rsidRPr="00FC59D3">
        <w:rPr>
          <w:lang w:val="fr-FR"/>
        </w:rPr>
        <w:t xml:space="preserve">La résilience du réseau de distribution doit rester intacte après un déclenchement imprévu de l’appareillage de protection. Les installations de commande des installations flexibles doivent donc se </w:t>
      </w:r>
      <w:proofErr w:type="spellStart"/>
      <w:r w:rsidRPr="00FC59D3">
        <w:rPr>
          <w:lang w:val="fr-FR"/>
        </w:rPr>
        <w:t>comprter</w:t>
      </w:r>
      <w:proofErr w:type="spellEnd"/>
      <w:r w:rsidRPr="00FC59D3">
        <w:rPr>
          <w:lang w:val="fr-FR"/>
        </w:rPr>
        <w:t xml:space="preserve"> selon un mécanisme ‘</w:t>
      </w:r>
      <w:proofErr w:type="spellStart"/>
      <w:r w:rsidRPr="00FC59D3">
        <w:rPr>
          <w:lang w:val="fr-FR"/>
        </w:rPr>
        <w:t>failsafe</w:t>
      </w:r>
      <w:proofErr w:type="spellEnd"/>
      <w:r w:rsidRPr="00FC59D3">
        <w:rPr>
          <w:lang w:val="fr-FR"/>
        </w:rPr>
        <w:t>’ qui supporte cette résilience.</w:t>
      </w:r>
    </w:p>
    <w:p w14:paraId="0BE33A9C" w14:textId="788EF508" w:rsidR="00912311" w:rsidRPr="00FC59D3" w:rsidRDefault="00912311" w:rsidP="00FC59D3">
      <w:pPr>
        <w:pStyle w:val="ORESTEXTE"/>
        <w:numPr>
          <w:ilvl w:val="0"/>
          <w:numId w:val="3"/>
        </w:numPr>
        <w:tabs>
          <w:tab w:val="clear" w:pos="482"/>
        </w:tabs>
        <w:rPr>
          <w:lang w:val="fr-FR"/>
        </w:rPr>
      </w:pPr>
      <w:r w:rsidRPr="00FC59D3">
        <w:rPr>
          <w:lang w:val="fr-FR"/>
        </w:rPr>
        <w:t xml:space="preserve">Le comportement du réactif sur le réseau doit supporter la tension et doit être contrôlé au niveau individuel ainsi qu’au niveau du réseau. </w:t>
      </w:r>
    </w:p>
    <w:p w14:paraId="7EA81289" w14:textId="77777777" w:rsidR="00912311" w:rsidRPr="00C32B81" w:rsidRDefault="00912311" w:rsidP="00912311">
      <w:pPr>
        <w:pStyle w:val="ORESTEXTE"/>
        <w:ind w:left="840"/>
        <w:rPr>
          <w:lang w:val="fr-FR"/>
        </w:rPr>
      </w:pPr>
    </w:p>
    <w:p w14:paraId="488207EC" w14:textId="77777777" w:rsidR="004803AA" w:rsidRPr="00C32B81" w:rsidRDefault="004803AA" w:rsidP="004803AA">
      <w:pPr>
        <w:spacing w:after="200" w:line="276" w:lineRule="auto"/>
        <w:rPr>
          <w:lang w:val="fr-FR"/>
        </w:rPr>
      </w:pPr>
      <w:r w:rsidRPr="00C32B81">
        <w:rPr>
          <w:lang w:val="fr-FR"/>
        </w:rPr>
        <w:br w:type="page"/>
      </w:r>
    </w:p>
    <w:p w14:paraId="3F76B9CF" w14:textId="77777777" w:rsidR="004803AA" w:rsidRPr="00C71D0C" w:rsidRDefault="004803AA" w:rsidP="004803AA">
      <w:pPr>
        <w:rPr>
          <w:rFonts w:ascii="Cambria" w:hAnsi="Cambria"/>
          <w:b/>
          <w:sz w:val="28"/>
          <w:szCs w:val="28"/>
          <w:lang w:val="fr-FR"/>
        </w:rPr>
      </w:pPr>
      <w:r w:rsidRPr="00C71D0C">
        <w:rPr>
          <w:rFonts w:ascii="Cambria" w:hAnsi="Cambria"/>
          <w:b/>
          <w:sz w:val="28"/>
          <w:szCs w:val="28"/>
          <w:lang w:val="fr-FR"/>
        </w:rPr>
        <w:lastRenderedPageBreak/>
        <w:t>Illustrations des impacts de la flexibilité sur le réseau du GRD</w:t>
      </w:r>
    </w:p>
    <w:p w14:paraId="48C30235" w14:textId="77777777" w:rsidR="004803AA" w:rsidRPr="00C71D0C" w:rsidRDefault="004803AA" w:rsidP="004803AA">
      <w:pPr>
        <w:rPr>
          <w:rFonts w:ascii="Cambria" w:hAnsi="Cambria"/>
          <w:b/>
          <w:sz w:val="28"/>
          <w:szCs w:val="28"/>
          <w:lang w:val="fr-FR"/>
        </w:rPr>
      </w:pPr>
    </w:p>
    <w:p w14:paraId="7C387415" w14:textId="77777777" w:rsidR="004803AA" w:rsidRPr="007C216A" w:rsidRDefault="004803AA" w:rsidP="004803AA">
      <w:pPr>
        <w:pStyle w:val="Sous-titre"/>
        <w:rPr>
          <w:lang w:val="fr-BE"/>
        </w:rPr>
      </w:pPr>
      <w:r w:rsidRPr="00C32B81">
        <w:rPr>
          <w:lang w:val="fr-FR"/>
        </w:rPr>
        <w:t>Illustration de l’effet de la diminution de la consommation causant un dépassement de la tension admis</w:t>
      </w:r>
      <w:r>
        <w:rPr>
          <w:lang w:val="fr-BE"/>
        </w:rPr>
        <w:t xml:space="preserve">e </w:t>
      </w:r>
      <w:r w:rsidRPr="007C216A">
        <w:rPr>
          <w:lang w:val="fr-BE"/>
        </w:rPr>
        <w:t>(réseau en</w:t>
      </w:r>
      <w:r>
        <w:rPr>
          <w:lang w:val="fr-BE"/>
        </w:rPr>
        <w:t xml:space="preserve"> mode de fonctionnement normal)</w:t>
      </w:r>
    </w:p>
    <w:p w14:paraId="1CCA38C0" w14:textId="77777777" w:rsidR="004803AA" w:rsidRDefault="004803AA" w:rsidP="004803AA">
      <w:pPr>
        <w:pStyle w:val="Sous-titre"/>
        <w:rPr>
          <w:lang w:val="fr-BE"/>
        </w:rPr>
      </w:pPr>
    </w:p>
    <w:p w14:paraId="14EFDF9D" w14:textId="77777777" w:rsidR="004803AA" w:rsidRDefault="004803AA" w:rsidP="004803AA">
      <w:pPr>
        <w:spacing w:after="200" w:line="276" w:lineRule="auto"/>
        <w:rPr>
          <w:lang w:val="fr-BE"/>
        </w:rPr>
      </w:pPr>
      <w:r>
        <w:rPr>
          <w:lang w:val="fr-BE"/>
        </w:rPr>
        <w:t>Soit le réseau fictif suivant :</w:t>
      </w:r>
    </w:p>
    <w:p w14:paraId="516256E9" w14:textId="77777777" w:rsidR="004803AA" w:rsidRDefault="004803AA" w:rsidP="004803AA">
      <w:pPr>
        <w:spacing w:after="200" w:line="276" w:lineRule="auto"/>
        <w:rPr>
          <w:lang w:val="fr-BE"/>
        </w:rPr>
      </w:pPr>
      <w:r>
        <w:rPr>
          <w:lang w:val="fr-BE"/>
        </w:rPr>
        <w:t>Depuis le poste de transformation HT/MT, un feeder alimente une usine où il y a présence d’une cogénération, plusieurs clients industriels Flexibles, une éolienne et une cabine réseau MT/BT alimentant elle-même quelques maisons.</w:t>
      </w:r>
    </w:p>
    <w:p w14:paraId="44AD106C" w14:textId="77777777" w:rsidR="004803AA" w:rsidRDefault="004803AA" w:rsidP="004803AA">
      <w:pPr>
        <w:spacing w:after="200" w:line="276" w:lineRule="auto"/>
        <w:rPr>
          <w:lang w:val="fr-BE"/>
        </w:rPr>
      </w:pPr>
      <w:r>
        <w:rPr>
          <w:lang w:val="fr-BE"/>
        </w:rPr>
        <w:t xml:space="preserve">Nous prenons le plan de tension en </w:t>
      </w:r>
      <w:r w:rsidRPr="00AB2F94">
        <w:rPr>
          <w:u w:val="single"/>
          <w:lang w:val="fr-BE"/>
        </w:rPr>
        <w:t>février à 7h00</w:t>
      </w:r>
      <w:r>
        <w:rPr>
          <w:lang w:val="fr-BE"/>
        </w:rPr>
        <w:t xml:space="preserve"> qui s’établit comme suit :</w:t>
      </w:r>
    </w:p>
    <w:p w14:paraId="3E5BC8AA" w14:textId="77777777" w:rsidR="004803AA" w:rsidRDefault="004803AA" w:rsidP="004803AA">
      <w:pPr>
        <w:spacing w:after="200" w:line="276" w:lineRule="auto"/>
        <w:rPr>
          <w:lang w:val="fr-BE"/>
        </w:rPr>
      </w:pPr>
      <w:r>
        <w:rPr>
          <w:noProof/>
        </w:rPr>
        <w:drawing>
          <wp:inline distT="0" distB="0" distL="0" distR="0" wp14:anchorId="1BD089AB" wp14:editId="2A3E16CD">
            <wp:extent cx="4667250" cy="269557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7250" cy="2695575"/>
                    </a:xfrm>
                    <a:prstGeom prst="rect">
                      <a:avLst/>
                    </a:prstGeom>
                    <a:noFill/>
                    <a:ln>
                      <a:noFill/>
                    </a:ln>
                  </pic:spPr>
                </pic:pic>
              </a:graphicData>
            </a:graphic>
          </wp:inline>
        </w:drawing>
      </w:r>
    </w:p>
    <w:p w14:paraId="622DFBE5" w14:textId="77777777" w:rsidR="004803AA" w:rsidRDefault="004803AA" w:rsidP="004803AA">
      <w:pPr>
        <w:spacing w:after="200" w:line="276" w:lineRule="auto"/>
        <w:rPr>
          <w:lang w:val="fr-BE"/>
        </w:rPr>
      </w:pPr>
      <w:r>
        <w:rPr>
          <w:lang w:val="fr-BE"/>
        </w:rPr>
        <w:t>Sachant que :</w:t>
      </w:r>
    </w:p>
    <w:p w14:paraId="19256DBD" w14:textId="77777777" w:rsidR="004803AA" w:rsidRDefault="004803AA" w:rsidP="004803AA">
      <w:pPr>
        <w:pStyle w:val="Paragraphedeliste"/>
        <w:numPr>
          <w:ilvl w:val="0"/>
          <w:numId w:val="3"/>
        </w:numPr>
        <w:spacing w:after="200" w:line="276" w:lineRule="auto"/>
        <w:rPr>
          <w:lang w:val="fr-BE"/>
        </w:rPr>
      </w:pPr>
      <w:r>
        <w:rPr>
          <w:lang w:val="fr-BE"/>
        </w:rPr>
        <w:t>ni l’usine ni les URD Flexibles n’ont déjà démarré leur activité (consommation résiduelle)</w:t>
      </w:r>
    </w:p>
    <w:p w14:paraId="4BEFB491" w14:textId="77777777" w:rsidR="004803AA" w:rsidRDefault="004803AA" w:rsidP="004803AA">
      <w:pPr>
        <w:pStyle w:val="Paragraphedeliste"/>
        <w:numPr>
          <w:ilvl w:val="0"/>
          <w:numId w:val="3"/>
        </w:numPr>
        <w:spacing w:after="200" w:line="276" w:lineRule="auto"/>
        <w:rPr>
          <w:lang w:val="fr-BE"/>
        </w:rPr>
      </w:pPr>
      <w:r>
        <w:rPr>
          <w:lang w:val="fr-BE"/>
        </w:rPr>
        <w:t>l’éolienne tourne</w:t>
      </w:r>
      <w:r w:rsidRPr="004D151B">
        <w:rPr>
          <w:lang w:val="fr-BE"/>
        </w:rPr>
        <w:t xml:space="preserve"> à la moitié de sa puissance nominale</w:t>
      </w:r>
    </w:p>
    <w:p w14:paraId="45EEEE66" w14:textId="77777777" w:rsidR="004803AA" w:rsidRDefault="004803AA" w:rsidP="004803AA">
      <w:pPr>
        <w:pStyle w:val="Paragraphedeliste"/>
        <w:numPr>
          <w:ilvl w:val="0"/>
          <w:numId w:val="3"/>
        </w:numPr>
        <w:spacing w:after="200" w:line="276" w:lineRule="auto"/>
        <w:rPr>
          <w:lang w:val="fr-BE"/>
        </w:rPr>
      </w:pPr>
      <w:r>
        <w:rPr>
          <w:lang w:val="fr-BE"/>
        </w:rPr>
        <w:t>les clients résidentiels consomment (pas de production photovoltaïque car le soleil ne s’est pas encore levé)</w:t>
      </w:r>
    </w:p>
    <w:p w14:paraId="7A3CA315" w14:textId="77777777" w:rsidR="004803AA" w:rsidRDefault="004803AA" w:rsidP="004803AA">
      <w:pPr>
        <w:spacing w:after="200" w:line="276" w:lineRule="auto"/>
        <w:rPr>
          <w:lang w:val="fr-BE"/>
        </w:rPr>
      </w:pPr>
      <w:r>
        <w:rPr>
          <w:lang w:val="fr-BE"/>
        </w:rPr>
        <w:t>Les limites opérationnelles de tension sont bien respectées.</w:t>
      </w:r>
    </w:p>
    <w:p w14:paraId="03494947" w14:textId="77777777" w:rsidR="004803AA" w:rsidRDefault="004803AA" w:rsidP="004803AA">
      <w:pPr>
        <w:spacing w:after="200" w:line="276" w:lineRule="auto"/>
        <w:rPr>
          <w:lang w:val="fr-BE"/>
        </w:rPr>
      </w:pPr>
      <w:r>
        <w:rPr>
          <w:lang w:val="fr-BE"/>
        </w:rPr>
        <w:t xml:space="preserve">Le </w:t>
      </w:r>
      <w:r w:rsidRPr="00AB2F94">
        <w:rPr>
          <w:u w:val="single"/>
          <w:lang w:val="fr-BE"/>
        </w:rPr>
        <w:t>même jour, la situation à 8h00</w:t>
      </w:r>
      <w:r>
        <w:rPr>
          <w:lang w:val="fr-BE"/>
        </w:rPr>
        <w:t xml:space="preserve"> devient :</w:t>
      </w:r>
    </w:p>
    <w:p w14:paraId="2D8CEAF5" w14:textId="77777777" w:rsidR="004803AA" w:rsidRDefault="004803AA" w:rsidP="004803AA">
      <w:pPr>
        <w:spacing w:after="200" w:line="276" w:lineRule="auto"/>
        <w:rPr>
          <w:lang w:val="fr-BE"/>
        </w:rPr>
      </w:pPr>
    </w:p>
    <w:p w14:paraId="121E7B65" w14:textId="77777777" w:rsidR="004803AA" w:rsidRDefault="004803AA" w:rsidP="004803AA">
      <w:pPr>
        <w:spacing w:after="200" w:line="276" w:lineRule="auto"/>
        <w:rPr>
          <w:lang w:val="fr-BE"/>
        </w:rPr>
      </w:pPr>
    </w:p>
    <w:p w14:paraId="367099A0" w14:textId="77777777" w:rsidR="004803AA" w:rsidRDefault="004803AA" w:rsidP="004803AA">
      <w:pPr>
        <w:spacing w:after="200" w:line="276" w:lineRule="auto"/>
        <w:rPr>
          <w:lang w:val="fr-BE"/>
        </w:rPr>
      </w:pPr>
    </w:p>
    <w:p w14:paraId="18C250FD" w14:textId="77777777" w:rsidR="004803AA" w:rsidRDefault="004803AA" w:rsidP="004803AA">
      <w:pPr>
        <w:spacing w:after="200" w:line="276" w:lineRule="auto"/>
        <w:rPr>
          <w:lang w:val="fr-BE"/>
        </w:rPr>
      </w:pPr>
      <w:r>
        <w:rPr>
          <w:noProof/>
        </w:rPr>
        <w:lastRenderedPageBreak/>
        <w:drawing>
          <wp:anchor distT="0" distB="0" distL="114300" distR="114300" simplePos="0" relativeHeight="251659264" behindDoc="0" locked="0" layoutInCell="1" allowOverlap="1" wp14:anchorId="2AFD7A5C" wp14:editId="594BE4A0">
            <wp:simplePos x="0" y="0"/>
            <wp:positionH relativeFrom="column">
              <wp:align>left</wp:align>
            </wp:positionH>
            <wp:positionV relativeFrom="paragraph">
              <wp:align>top</wp:align>
            </wp:positionV>
            <wp:extent cx="4665345" cy="2698115"/>
            <wp:effectExtent l="0" t="0" r="0" b="0"/>
            <wp:wrapSquare wrapText="bothSides"/>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5345" cy="2698115"/>
                    </a:xfrm>
                    <a:prstGeom prst="rect">
                      <a:avLst/>
                    </a:prstGeom>
                    <a:noFill/>
                    <a:ln>
                      <a:noFill/>
                    </a:ln>
                  </pic:spPr>
                </pic:pic>
              </a:graphicData>
            </a:graphic>
          </wp:anchor>
        </w:drawing>
      </w:r>
      <w:r>
        <w:rPr>
          <w:lang w:val="fr-BE"/>
        </w:rPr>
        <w:br w:type="textWrapping" w:clear="all"/>
      </w:r>
    </w:p>
    <w:p w14:paraId="71A9C6C9" w14:textId="77777777" w:rsidR="004803AA" w:rsidRDefault="004803AA" w:rsidP="004803AA">
      <w:pPr>
        <w:spacing w:after="200" w:line="276" w:lineRule="auto"/>
        <w:rPr>
          <w:lang w:val="fr-BE"/>
        </w:rPr>
      </w:pPr>
      <w:r>
        <w:rPr>
          <w:lang w:val="fr-BE"/>
        </w:rPr>
        <w:t>Sachant que :</w:t>
      </w:r>
    </w:p>
    <w:p w14:paraId="193BF4CC" w14:textId="77777777" w:rsidR="004803AA" w:rsidRDefault="004803AA" w:rsidP="004803AA">
      <w:pPr>
        <w:pStyle w:val="Paragraphedeliste"/>
        <w:numPr>
          <w:ilvl w:val="0"/>
          <w:numId w:val="3"/>
        </w:numPr>
        <w:spacing w:after="200" w:line="276" w:lineRule="auto"/>
        <w:rPr>
          <w:lang w:val="fr-BE"/>
        </w:rPr>
      </w:pPr>
      <w:r>
        <w:rPr>
          <w:lang w:val="fr-BE"/>
        </w:rPr>
        <w:t>l’usine avec la cogénération est en plein régime</w:t>
      </w:r>
    </w:p>
    <w:p w14:paraId="2C2AFF9E" w14:textId="77777777" w:rsidR="004803AA" w:rsidRDefault="004803AA" w:rsidP="004803AA">
      <w:pPr>
        <w:pStyle w:val="Paragraphedeliste"/>
        <w:numPr>
          <w:ilvl w:val="0"/>
          <w:numId w:val="3"/>
        </w:numPr>
        <w:spacing w:after="200" w:line="276" w:lineRule="auto"/>
        <w:rPr>
          <w:lang w:val="fr-BE"/>
        </w:rPr>
      </w:pPr>
      <w:r>
        <w:rPr>
          <w:lang w:val="fr-BE"/>
        </w:rPr>
        <w:t>les URD Flexibles ont leur consommation maximale</w:t>
      </w:r>
    </w:p>
    <w:p w14:paraId="089D0B25" w14:textId="77777777" w:rsidR="004803AA" w:rsidRDefault="004803AA" w:rsidP="004803AA">
      <w:pPr>
        <w:pStyle w:val="Paragraphedeliste"/>
        <w:numPr>
          <w:ilvl w:val="0"/>
          <w:numId w:val="3"/>
        </w:numPr>
        <w:spacing w:after="200" w:line="276" w:lineRule="auto"/>
        <w:rPr>
          <w:lang w:val="fr-BE"/>
        </w:rPr>
      </w:pPr>
      <w:r w:rsidRPr="004D151B">
        <w:rPr>
          <w:lang w:val="fr-BE"/>
        </w:rPr>
        <w:t>l’éolienne tour</w:t>
      </w:r>
      <w:r>
        <w:rPr>
          <w:lang w:val="fr-BE"/>
        </w:rPr>
        <w:t xml:space="preserve">ne </w:t>
      </w:r>
      <w:r w:rsidRPr="004D151B">
        <w:rPr>
          <w:lang w:val="fr-BE"/>
        </w:rPr>
        <w:t xml:space="preserve">à </w:t>
      </w:r>
      <w:r>
        <w:rPr>
          <w:lang w:val="fr-BE"/>
        </w:rPr>
        <w:t xml:space="preserve">pleine </w:t>
      </w:r>
      <w:r w:rsidRPr="004D151B">
        <w:rPr>
          <w:lang w:val="fr-BE"/>
        </w:rPr>
        <w:t>puissance</w:t>
      </w:r>
    </w:p>
    <w:p w14:paraId="0BC14D81" w14:textId="77777777" w:rsidR="004803AA" w:rsidRDefault="004803AA" w:rsidP="004803AA">
      <w:pPr>
        <w:pStyle w:val="Paragraphedeliste"/>
        <w:numPr>
          <w:ilvl w:val="0"/>
          <w:numId w:val="3"/>
        </w:numPr>
        <w:spacing w:after="200" w:line="276" w:lineRule="auto"/>
        <w:rPr>
          <w:lang w:val="fr-BE"/>
        </w:rPr>
      </w:pPr>
      <w:r>
        <w:rPr>
          <w:lang w:val="fr-BE"/>
        </w:rPr>
        <w:t>les clients résidentiels consomment (la production photovoltaïque est négligeable)</w:t>
      </w:r>
    </w:p>
    <w:p w14:paraId="11C71725" w14:textId="77777777" w:rsidR="004803AA" w:rsidRPr="004D151B" w:rsidRDefault="004803AA" w:rsidP="004803AA">
      <w:pPr>
        <w:spacing w:after="200" w:line="276" w:lineRule="auto"/>
        <w:rPr>
          <w:lang w:val="fr-BE"/>
        </w:rPr>
      </w:pPr>
      <w:r>
        <w:rPr>
          <w:lang w:val="fr-BE"/>
        </w:rPr>
        <w:t>La limite de sécurité opérationnelle en tension est atteinte mais pas dépassée</w:t>
      </w:r>
    </w:p>
    <w:p w14:paraId="1DCFB2A5" w14:textId="77777777" w:rsidR="004803AA" w:rsidRDefault="004803AA" w:rsidP="004803AA">
      <w:pPr>
        <w:spacing w:after="200" w:line="276" w:lineRule="auto"/>
        <w:rPr>
          <w:lang w:val="fr-BE"/>
        </w:rPr>
      </w:pPr>
      <w:r>
        <w:rPr>
          <w:u w:val="single"/>
          <w:lang w:val="fr-BE"/>
        </w:rPr>
        <w:t xml:space="preserve">A 10h00, il y a appel à la flexibilité par réduction du prélèvement du client flexible. </w:t>
      </w:r>
      <w:r w:rsidRPr="00FE4A5A">
        <w:rPr>
          <w:lang w:val="fr-BE"/>
        </w:rPr>
        <w:t>Le plan de tension s’établit comme suit :</w:t>
      </w:r>
    </w:p>
    <w:p w14:paraId="4405335E" w14:textId="77777777" w:rsidR="004803AA" w:rsidRPr="00FE4A5A" w:rsidRDefault="004803AA" w:rsidP="004803AA">
      <w:pPr>
        <w:spacing w:after="200" w:line="276" w:lineRule="auto"/>
        <w:rPr>
          <w:lang w:val="fr-BE"/>
        </w:rPr>
      </w:pPr>
      <w:r>
        <w:rPr>
          <w:noProof/>
        </w:rPr>
        <w:drawing>
          <wp:inline distT="0" distB="0" distL="0" distR="0" wp14:anchorId="4F8EB9B9" wp14:editId="3177C1C1">
            <wp:extent cx="4667250" cy="2695575"/>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0" cy="2695575"/>
                    </a:xfrm>
                    <a:prstGeom prst="rect">
                      <a:avLst/>
                    </a:prstGeom>
                    <a:noFill/>
                    <a:ln>
                      <a:noFill/>
                    </a:ln>
                  </pic:spPr>
                </pic:pic>
              </a:graphicData>
            </a:graphic>
          </wp:inline>
        </w:drawing>
      </w:r>
    </w:p>
    <w:p w14:paraId="1690654F" w14:textId="77777777" w:rsidR="004803AA" w:rsidRDefault="004803AA" w:rsidP="004803AA">
      <w:pPr>
        <w:spacing w:after="200" w:line="276" w:lineRule="auto"/>
        <w:rPr>
          <w:lang w:val="fr-BE"/>
        </w:rPr>
      </w:pPr>
      <w:r>
        <w:rPr>
          <w:lang w:val="fr-BE"/>
        </w:rPr>
        <w:t xml:space="preserve">On constate que la diminution de la consommation de l’URD flexible provoque un dépassement des Limites de sécurité opérationnelle en MT et même de la norme en vigueur en BT (du fait qu’à cette </w:t>
      </w:r>
      <w:proofErr w:type="spellStart"/>
      <w:r>
        <w:rPr>
          <w:lang w:val="fr-BE"/>
        </w:rPr>
        <w:t>heure là</w:t>
      </w:r>
      <w:proofErr w:type="spellEnd"/>
      <w:r>
        <w:rPr>
          <w:lang w:val="fr-BE"/>
        </w:rPr>
        <w:t>, la consommation résidentielle est minime et que les panneaux PV produisent).</w:t>
      </w:r>
    </w:p>
    <w:p w14:paraId="3C8B381A" w14:textId="77777777" w:rsidR="004803AA" w:rsidRDefault="004803AA" w:rsidP="004803AA">
      <w:pPr>
        <w:pStyle w:val="Sous-titre"/>
        <w:rPr>
          <w:lang w:val="fr-BE"/>
        </w:rPr>
      </w:pPr>
      <w:r>
        <w:rPr>
          <w:lang w:val="fr-BE"/>
        </w:rPr>
        <w:t xml:space="preserve">Illustration de l’effet rebond causant </w:t>
      </w:r>
      <w:r w:rsidRPr="007C216A">
        <w:rPr>
          <w:lang w:val="fr-BE"/>
        </w:rPr>
        <w:t>problème thermique (réseau en mode de fonctionnement normal)</w:t>
      </w:r>
    </w:p>
    <w:p w14:paraId="43F42452" w14:textId="77777777" w:rsidR="004803AA" w:rsidRDefault="004803AA" w:rsidP="004803AA">
      <w:pPr>
        <w:rPr>
          <w:lang w:val="fr-BE"/>
        </w:rPr>
      </w:pPr>
    </w:p>
    <w:p w14:paraId="082246B1" w14:textId="77777777" w:rsidR="004803AA" w:rsidRDefault="004803AA" w:rsidP="004803AA">
      <w:pPr>
        <w:jc w:val="both"/>
        <w:rPr>
          <w:lang w:val="fr-FR" w:eastAsia="nl-NL"/>
        </w:rPr>
      </w:pPr>
      <w:r>
        <w:rPr>
          <w:lang w:val="fr-FR" w:eastAsia="nl-NL"/>
        </w:rPr>
        <w:t>Les charges flexibles avec déplacement de charge sont caractérisées par un report d’une partie du prélèvement (énergie et puissance) de la période d’activation (t) vers un autre moment (</w:t>
      </w:r>
      <w:proofErr w:type="spellStart"/>
      <w:r>
        <w:rPr>
          <w:lang w:val="fr-FR" w:eastAsia="nl-NL"/>
        </w:rPr>
        <w:t>t+x</w:t>
      </w:r>
      <w:proofErr w:type="spellEnd"/>
      <w:r>
        <w:rPr>
          <w:lang w:val="fr-FR" w:eastAsia="nl-NL"/>
        </w:rPr>
        <w:t xml:space="preserve">). A ce moment </w:t>
      </w:r>
      <w:r>
        <w:rPr>
          <w:lang w:val="fr-FR" w:eastAsia="nl-NL"/>
        </w:rPr>
        <w:lastRenderedPageBreak/>
        <w:t>(</w:t>
      </w:r>
      <w:proofErr w:type="spellStart"/>
      <w:r>
        <w:rPr>
          <w:lang w:val="fr-FR" w:eastAsia="nl-NL"/>
        </w:rPr>
        <w:t>t+x</w:t>
      </w:r>
      <w:proofErr w:type="spellEnd"/>
      <w:r>
        <w:rPr>
          <w:lang w:val="fr-FR" w:eastAsia="nl-NL"/>
        </w:rPr>
        <w:t xml:space="preserve">), la charge (puissance) reportée s’ajoute à la puissance de prélèvement normale de l’URD au même moment.  </w:t>
      </w:r>
    </w:p>
    <w:p w14:paraId="25FEB32B" w14:textId="77777777" w:rsidR="004803AA" w:rsidRDefault="004803AA" w:rsidP="004803AA">
      <w:pPr>
        <w:jc w:val="both"/>
        <w:rPr>
          <w:lang w:val="fr-FR" w:eastAsia="nl-NL"/>
        </w:rPr>
      </w:pPr>
    </w:p>
    <w:p w14:paraId="372C3B4F" w14:textId="1C5A3705" w:rsidR="004803AA" w:rsidRDefault="004803AA" w:rsidP="004803AA">
      <w:pPr>
        <w:jc w:val="both"/>
        <w:rPr>
          <w:lang w:val="fr-FR" w:eastAsia="nl-NL"/>
        </w:rPr>
      </w:pPr>
      <w:r>
        <w:rPr>
          <w:lang w:val="fr-FR" w:eastAsia="nl-NL"/>
        </w:rPr>
        <w:t xml:space="preserve">Par exemple, un hall frigorifique avec une consigne de température à -8°C </w:t>
      </w:r>
      <w:r w:rsidRPr="00FC5199">
        <w:rPr>
          <w:lang w:val="fr-FR"/>
        </w:rPr>
        <w:t xml:space="preserve">± </w:t>
      </w:r>
      <w:r>
        <w:rPr>
          <w:lang w:val="fr-FR"/>
        </w:rPr>
        <w:t xml:space="preserve">1°C </w:t>
      </w:r>
      <w:r>
        <w:rPr>
          <w:lang w:val="fr-FR" w:eastAsia="nl-NL"/>
        </w:rPr>
        <w:t xml:space="preserve">qui peut temporairement placer sa consigne à -7°C </w:t>
      </w:r>
      <w:r w:rsidRPr="00FC5199">
        <w:rPr>
          <w:lang w:val="fr-FR"/>
        </w:rPr>
        <w:t>±</w:t>
      </w:r>
      <w:r>
        <w:rPr>
          <w:lang w:val="fr-FR"/>
        </w:rPr>
        <w:t xml:space="preserve">1°C. </w:t>
      </w:r>
      <w:r>
        <w:rPr>
          <w:lang w:val="fr-FR" w:eastAsia="nl-NL"/>
        </w:rPr>
        <w:t>Quand la consigne reviendra à -8°C, le groupe froid devra probablement tourner plus et ainsi avoir une consommation supérieure à la normale (le temps de retourner à sa consigne).</w:t>
      </w:r>
    </w:p>
    <w:p w14:paraId="36EC1280" w14:textId="77777777" w:rsidR="004803AA" w:rsidRDefault="004803AA" w:rsidP="004803AA">
      <w:pPr>
        <w:jc w:val="both"/>
        <w:rPr>
          <w:lang w:val="fr-FR" w:eastAsia="nl-NL"/>
        </w:rPr>
      </w:pPr>
    </w:p>
    <w:p w14:paraId="198E994F" w14:textId="77777777" w:rsidR="004803AA" w:rsidRDefault="004803AA" w:rsidP="004803AA">
      <w:pPr>
        <w:jc w:val="both"/>
        <w:rPr>
          <w:lang w:val="fr-FR" w:eastAsia="nl-NL"/>
        </w:rPr>
      </w:pPr>
      <w:r>
        <w:rPr>
          <w:lang w:val="fr-FR" w:eastAsia="nl-NL"/>
        </w:rPr>
        <w:t>Les charges flexibles sans déplacement de charge permettent une modulation du prélèvement ou de l’injection sans nécessité de récupérer l’énergie à un autre moment. Par exemple, l’utilisation d’un groupe électrogène en parallèle ou l’extinction de l’éclairage, afin de diminuer le prélèvement sur le réseau de distribution. Les charges flexibles sans déplacement de charge n’induisent pas d’effet rebond.</w:t>
      </w:r>
    </w:p>
    <w:p w14:paraId="0E9C3941" w14:textId="77777777" w:rsidR="004803AA" w:rsidRDefault="004803AA" w:rsidP="004803AA">
      <w:pPr>
        <w:jc w:val="both"/>
        <w:rPr>
          <w:lang w:val="fr-FR" w:eastAsia="nl-NL"/>
        </w:rPr>
      </w:pPr>
    </w:p>
    <w:p w14:paraId="1A4D2604" w14:textId="77777777" w:rsidR="004803AA" w:rsidRPr="00BE2117" w:rsidRDefault="004803AA" w:rsidP="004803AA">
      <w:pPr>
        <w:rPr>
          <w:lang w:val="fr-BE"/>
        </w:rPr>
      </w:pPr>
    </w:p>
    <w:p w14:paraId="1CB83229" w14:textId="77777777" w:rsidR="004803AA" w:rsidRDefault="004803AA" w:rsidP="004803AA">
      <w:pPr>
        <w:rPr>
          <w:lang w:val="fr-FR" w:eastAsia="nl-NL"/>
        </w:rPr>
      </w:pPr>
      <w:r>
        <w:rPr>
          <w:lang w:val="fr-FR" w:eastAsia="nl-NL"/>
        </w:rPr>
        <w:t>Soit un câble avec son profil de charge (MW 1/4h) sur une journée typique (capacité de distribution = 7 MW)</w:t>
      </w:r>
    </w:p>
    <w:p w14:paraId="6169060A" w14:textId="77777777" w:rsidR="004803AA" w:rsidRDefault="004803AA" w:rsidP="004803AA">
      <w:pPr>
        <w:rPr>
          <w:lang w:val="fr-FR" w:eastAsia="nl-NL"/>
        </w:rPr>
      </w:pPr>
      <w:r>
        <w:rPr>
          <w:noProof/>
        </w:rPr>
        <w:drawing>
          <wp:inline distT="0" distB="0" distL="0" distR="0" wp14:anchorId="5A50D0E5" wp14:editId="696ABB7A">
            <wp:extent cx="6114415" cy="278320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4415" cy="2783205"/>
                    </a:xfrm>
                    <a:prstGeom prst="rect">
                      <a:avLst/>
                    </a:prstGeom>
                    <a:noFill/>
                    <a:ln>
                      <a:noFill/>
                    </a:ln>
                  </pic:spPr>
                </pic:pic>
              </a:graphicData>
            </a:graphic>
          </wp:inline>
        </w:drawing>
      </w:r>
    </w:p>
    <w:p w14:paraId="1519A1D9" w14:textId="77777777" w:rsidR="004803AA" w:rsidRDefault="004803AA" w:rsidP="004803AA">
      <w:pPr>
        <w:rPr>
          <w:lang w:val="fr-FR" w:eastAsia="nl-NL"/>
        </w:rPr>
      </w:pPr>
    </w:p>
    <w:p w14:paraId="1362D11C" w14:textId="77777777" w:rsidR="004803AA" w:rsidRDefault="004803AA" w:rsidP="004803AA">
      <w:pPr>
        <w:rPr>
          <w:lang w:val="fr-FR" w:eastAsia="nl-NL"/>
        </w:rPr>
      </w:pPr>
      <w:r>
        <w:rPr>
          <w:lang w:val="fr-FR" w:eastAsia="nl-NL"/>
        </w:rPr>
        <w:t>Soit un URD A demandant de pouvoir utiliser de la flexibilité de prélèvement avec déplacement, les caractéristiques communiquées par l’URD sont les suivantes :</w:t>
      </w:r>
    </w:p>
    <w:p w14:paraId="50FCD964" w14:textId="77777777" w:rsidR="004803AA" w:rsidRDefault="004803AA" w:rsidP="004803AA">
      <w:pPr>
        <w:pStyle w:val="Paragraphedeliste"/>
        <w:numPr>
          <w:ilvl w:val="0"/>
          <w:numId w:val="7"/>
        </w:numPr>
      </w:pPr>
      <w:r>
        <w:t>Caractéristique de l’effacement</w:t>
      </w:r>
    </w:p>
    <w:p w14:paraId="0F2CB057" w14:textId="77777777" w:rsidR="004803AA" w:rsidRDefault="004803AA" w:rsidP="004803AA">
      <w:pPr>
        <w:pStyle w:val="Paragraphedeliste"/>
        <w:numPr>
          <w:ilvl w:val="1"/>
          <w:numId w:val="7"/>
        </w:numPr>
      </w:pPr>
      <w:r>
        <w:t>effacement de prélèvement en puissance 1/4h 1,5 MW</w:t>
      </w:r>
    </w:p>
    <w:p w14:paraId="4075B95F" w14:textId="77777777" w:rsidR="004803AA" w:rsidRDefault="004803AA" w:rsidP="004803AA">
      <w:pPr>
        <w:pStyle w:val="Paragraphedeliste"/>
        <w:numPr>
          <w:ilvl w:val="1"/>
          <w:numId w:val="7"/>
        </w:numPr>
      </w:pPr>
      <w:r>
        <w:t>disponibilité de l’effacement = 100%</w:t>
      </w:r>
    </w:p>
    <w:p w14:paraId="7F553B16" w14:textId="77777777" w:rsidR="004803AA" w:rsidRDefault="004803AA" w:rsidP="004803AA">
      <w:pPr>
        <w:pStyle w:val="Paragraphedeliste"/>
        <w:numPr>
          <w:ilvl w:val="1"/>
          <w:numId w:val="7"/>
        </w:numPr>
      </w:pPr>
      <w:r>
        <w:t>durée de l’effacement = max 2h</w:t>
      </w:r>
    </w:p>
    <w:p w14:paraId="03C8C96F" w14:textId="77777777" w:rsidR="004803AA" w:rsidRDefault="004803AA" w:rsidP="004803AA">
      <w:pPr>
        <w:pStyle w:val="Paragraphedeliste"/>
        <w:numPr>
          <w:ilvl w:val="0"/>
          <w:numId w:val="7"/>
        </w:numPr>
      </w:pPr>
      <w:r>
        <w:t xml:space="preserve">Caractéristique de la récupération de l’énergie </w:t>
      </w:r>
    </w:p>
    <w:p w14:paraId="48E46657" w14:textId="77777777" w:rsidR="004803AA" w:rsidRDefault="004803AA" w:rsidP="004803AA">
      <w:pPr>
        <w:pStyle w:val="Paragraphedeliste"/>
        <w:numPr>
          <w:ilvl w:val="1"/>
          <w:numId w:val="7"/>
        </w:numPr>
      </w:pPr>
      <w:r>
        <w:t>à n’importe quel moment</w:t>
      </w:r>
      <w:r w:rsidRPr="00D91528">
        <w:t xml:space="preserve"> </w:t>
      </w:r>
      <w:r>
        <w:t>(24/24 7/7)</w:t>
      </w:r>
    </w:p>
    <w:p w14:paraId="7D36E83A" w14:textId="77777777" w:rsidR="004803AA" w:rsidRPr="00567DBA" w:rsidRDefault="004803AA" w:rsidP="004803AA">
      <w:pPr>
        <w:pStyle w:val="Paragraphedeliste"/>
        <w:numPr>
          <w:ilvl w:val="1"/>
          <w:numId w:val="7"/>
        </w:numPr>
        <w:rPr>
          <w:lang w:val="fr-BE"/>
        </w:rPr>
      </w:pPr>
      <w:r w:rsidRPr="00567DBA">
        <w:t>amplitude du déplacement de charge</w:t>
      </w:r>
      <w:r>
        <w:t> : idem effacement</w:t>
      </w:r>
      <w:r w:rsidRPr="00567DBA">
        <w:t xml:space="preserve"> </w:t>
      </w:r>
    </w:p>
    <w:p w14:paraId="3E77E3FE" w14:textId="77777777" w:rsidR="004803AA" w:rsidRDefault="004803AA" w:rsidP="004803AA">
      <w:pPr>
        <w:rPr>
          <w:lang w:val="fr-BE"/>
        </w:rPr>
      </w:pPr>
    </w:p>
    <w:p w14:paraId="187268E8" w14:textId="77777777" w:rsidR="004803AA" w:rsidRDefault="004803AA" w:rsidP="004803AA">
      <w:pPr>
        <w:rPr>
          <w:lang w:val="fr-FR" w:eastAsia="nl-NL"/>
        </w:rPr>
      </w:pPr>
      <w:r w:rsidRPr="00EC2058">
        <w:rPr>
          <w:lang w:val="fr-BE"/>
        </w:rPr>
        <w:t>Soit un URD B d</w:t>
      </w:r>
      <w:r>
        <w:rPr>
          <w:lang w:val="fr-BE"/>
        </w:rPr>
        <w:t xml:space="preserve">emandant de pouvoir utiliser de la flexibilité de prélèvement avec déplacement, </w:t>
      </w:r>
      <w:r>
        <w:rPr>
          <w:lang w:val="fr-FR" w:eastAsia="nl-NL"/>
        </w:rPr>
        <w:t>les caractéristiques communiquées par l’URD sont les suivantes :</w:t>
      </w:r>
    </w:p>
    <w:p w14:paraId="782F59C1" w14:textId="77777777" w:rsidR="004803AA" w:rsidRDefault="004803AA" w:rsidP="004803AA">
      <w:pPr>
        <w:pStyle w:val="Paragraphedeliste"/>
        <w:numPr>
          <w:ilvl w:val="0"/>
          <w:numId w:val="8"/>
        </w:numPr>
      </w:pPr>
      <w:r>
        <w:t>Caractéristique de l’effacement</w:t>
      </w:r>
    </w:p>
    <w:p w14:paraId="4B933A46" w14:textId="77777777" w:rsidR="004803AA" w:rsidRDefault="004803AA" w:rsidP="004803AA">
      <w:pPr>
        <w:pStyle w:val="Paragraphedeliste"/>
        <w:numPr>
          <w:ilvl w:val="1"/>
          <w:numId w:val="8"/>
        </w:numPr>
      </w:pPr>
      <w:r>
        <w:t>effacement de prélèvement en puissance 1/4h correspondant à 1,5MW</w:t>
      </w:r>
    </w:p>
    <w:p w14:paraId="6A2F5E54" w14:textId="77777777" w:rsidR="004803AA" w:rsidRDefault="004803AA" w:rsidP="004803AA">
      <w:pPr>
        <w:pStyle w:val="Paragraphedeliste"/>
        <w:numPr>
          <w:ilvl w:val="1"/>
          <w:numId w:val="8"/>
        </w:numPr>
      </w:pPr>
      <w:r>
        <w:t xml:space="preserve">disponibilité de l’effacement = uniquement de 14h à 18h </w:t>
      </w:r>
    </w:p>
    <w:p w14:paraId="3642A09F" w14:textId="77777777" w:rsidR="004803AA" w:rsidRDefault="004803AA" w:rsidP="004803AA">
      <w:pPr>
        <w:pStyle w:val="Paragraphedeliste"/>
        <w:numPr>
          <w:ilvl w:val="1"/>
          <w:numId w:val="8"/>
        </w:numPr>
      </w:pPr>
      <w:r>
        <w:t>durée de l’effacement = max 2h</w:t>
      </w:r>
    </w:p>
    <w:p w14:paraId="3518C104" w14:textId="77777777" w:rsidR="004803AA" w:rsidRDefault="004803AA" w:rsidP="004803AA">
      <w:pPr>
        <w:pStyle w:val="Paragraphedeliste"/>
        <w:numPr>
          <w:ilvl w:val="0"/>
          <w:numId w:val="8"/>
        </w:numPr>
      </w:pPr>
      <w:r>
        <w:t xml:space="preserve">Caractéristique de la récupération de l’énergie </w:t>
      </w:r>
    </w:p>
    <w:p w14:paraId="11B17459" w14:textId="77777777" w:rsidR="004803AA" w:rsidRDefault="004803AA" w:rsidP="004803AA">
      <w:pPr>
        <w:pStyle w:val="Paragraphedeliste"/>
        <w:numPr>
          <w:ilvl w:val="1"/>
          <w:numId w:val="8"/>
        </w:numPr>
      </w:pPr>
      <w:r>
        <w:t>récupération dans les 2h qui suivent la période d’activation (y compris après 18h)</w:t>
      </w:r>
    </w:p>
    <w:p w14:paraId="5FC92F28" w14:textId="77777777" w:rsidR="004803AA" w:rsidRDefault="004803AA" w:rsidP="004803AA">
      <w:pPr>
        <w:pStyle w:val="Paragraphedeliste"/>
        <w:numPr>
          <w:ilvl w:val="1"/>
          <w:numId w:val="8"/>
        </w:numPr>
      </w:pPr>
      <w:r w:rsidRPr="002412EB">
        <w:t>amplitude du déplacement de charge</w:t>
      </w:r>
      <w:r>
        <w:t xml:space="preserve"> en puissance </w:t>
      </w:r>
    </w:p>
    <w:p w14:paraId="4422ED8B" w14:textId="77777777" w:rsidR="004803AA" w:rsidRDefault="004803AA" w:rsidP="004803AA">
      <w:pPr>
        <w:pStyle w:val="Paragraphedeliste"/>
        <w:numPr>
          <w:ilvl w:val="2"/>
          <w:numId w:val="8"/>
        </w:numPr>
      </w:pPr>
      <w:r>
        <w:t>récupération en 2h, 2/3 la première heure, 1/3 la deuxième heure</w:t>
      </w:r>
    </w:p>
    <w:p w14:paraId="0AFFC970" w14:textId="77777777" w:rsidR="004803AA" w:rsidRDefault="004803AA" w:rsidP="004803AA">
      <w:pPr>
        <w:rPr>
          <w:lang w:val="fr-BE"/>
        </w:rPr>
      </w:pPr>
    </w:p>
    <w:p w14:paraId="11DF7C4C" w14:textId="363BB172" w:rsidR="004803AA" w:rsidRPr="00E358AA" w:rsidRDefault="004803AA" w:rsidP="004803AA">
      <w:pPr>
        <w:rPr>
          <w:lang w:val="fr-BE"/>
        </w:rPr>
      </w:pPr>
      <w:r w:rsidRPr="00E358AA">
        <w:rPr>
          <w:lang w:val="fr-BE"/>
        </w:rPr>
        <w:t>Analyse du GRD</w:t>
      </w:r>
      <w:r w:rsidR="00B459EA">
        <w:rPr>
          <w:lang w:val="fr-BE"/>
        </w:rPr>
        <w:t xml:space="preserve"> </w:t>
      </w:r>
      <w:r w:rsidRPr="00E358AA">
        <w:rPr>
          <w:lang w:val="fr-BE"/>
        </w:rPr>
        <w:t>:</w:t>
      </w:r>
    </w:p>
    <w:p w14:paraId="45B02256" w14:textId="77777777" w:rsidR="004803AA" w:rsidRDefault="004803AA" w:rsidP="004803AA">
      <w:pPr>
        <w:rPr>
          <w:lang w:val="fr-BE"/>
        </w:rPr>
      </w:pPr>
      <w:r w:rsidRPr="00905CED">
        <w:rPr>
          <w:lang w:val="fr-BE"/>
        </w:rPr>
        <w:t>Le cas le plus d</w:t>
      </w:r>
      <w:r>
        <w:rPr>
          <w:lang w:val="fr-BE"/>
        </w:rPr>
        <w:t>éfavorable est une demande de flexibilité de 14h00 à 16h00, soit 2x 3MW d’effacement.</w:t>
      </w:r>
    </w:p>
    <w:p w14:paraId="112215F6" w14:textId="77777777" w:rsidR="004803AA" w:rsidRDefault="004803AA" w:rsidP="004803AA">
      <w:pPr>
        <w:rPr>
          <w:lang w:val="fr-BE"/>
        </w:rPr>
      </w:pPr>
      <w:r>
        <w:rPr>
          <w:noProof/>
        </w:rPr>
        <w:lastRenderedPageBreak/>
        <w:drawing>
          <wp:inline distT="0" distB="0" distL="0" distR="0" wp14:anchorId="3EA732CD" wp14:editId="2F54C980">
            <wp:extent cx="6114415" cy="278320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4415" cy="2783205"/>
                    </a:xfrm>
                    <a:prstGeom prst="rect">
                      <a:avLst/>
                    </a:prstGeom>
                    <a:noFill/>
                    <a:ln>
                      <a:noFill/>
                    </a:ln>
                  </pic:spPr>
                </pic:pic>
              </a:graphicData>
            </a:graphic>
          </wp:inline>
        </w:drawing>
      </w:r>
    </w:p>
    <w:p w14:paraId="63B1343D" w14:textId="77777777" w:rsidR="004803AA" w:rsidRDefault="004803AA" w:rsidP="004803AA">
      <w:pPr>
        <w:rPr>
          <w:lang w:val="fr-BE"/>
        </w:rPr>
      </w:pPr>
    </w:p>
    <w:p w14:paraId="202DF901" w14:textId="77777777" w:rsidR="004803AA" w:rsidRDefault="004803AA" w:rsidP="004803AA">
      <w:pPr>
        <w:rPr>
          <w:lang w:val="fr-BE"/>
        </w:rPr>
      </w:pPr>
      <w:r>
        <w:rPr>
          <w:lang w:val="fr-BE"/>
        </w:rPr>
        <w:t>Déplacement de charge le plus défavorable</w:t>
      </w:r>
    </w:p>
    <w:p w14:paraId="1EB663F9" w14:textId="77777777" w:rsidR="004803AA" w:rsidRDefault="004803AA" w:rsidP="004803AA">
      <w:pPr>
        <w:rPr>
          <w:lang w:val="fr-BE"/>
        </w:rPr>
      </w:pPr>
      <w:r>
        <w:rPr>
          <w:noProof/>
        </w:rPr>
        <w:drawing>
          <wp:inline distT="0" distB="0" distL="0" distR="0" wp14:anchorId="62C303F9" wp14:editId="6E7C4471">
            <wp:extent cx="6114415" cy="296608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4415" cy="2966085"/>
                    </a:xfrm>
                    <a:prstGeom prst="rect">
                      <a:avLst/>
                    </a:prstGeom>
                    <a:noFill/>
                    <a:ln>
                      <a:noFill/>
                    </a:ln>
                  </pic:spPr>
                </pic:pic>
              </a:graphicData>
            </a:graphic>
          </wp:inline>
        </w:drawing>
      </w:r>
    </w:p>
    <w:p w14:paraId="5625FB4E" w14:textId="77777777" w:rsidR="004803AA" w:rsidRDefault="004803AA" w:rsidP="004803AA">
      <w:pPr>
        <w:rPr>
          <w:lang w:val="fr-BE"/>
        </w:rPr>
      </w:pPr>
    </w:p>
    <w:p w14:paraId="0A26D3DA" w14:textId="77777777" w:rsidR="004803AA" w:rsidRPr="00905CED" w:rsidRDefault="004803AA" w:rsidP="004803AA">
      <w:pPr>
        <w:rPr>
          <w:lang w:val="fr-BE"/>
        </w:rPr>
      </w:pPr>
      <w:r>
        <w:rPr>
          <w:lang w:val="fr-BE"/>
        </w:rPr>
        <w:t>Dans ces conditions, les limites opérationnelles du câble sont dépassées et le GRD doit prendre des mesures pour limiter les effets.</w:t>
      </w:r>
    </w:p>
    <w:p w14:paraId="285EC999" w14:textId="77777777" w:rsidR="005E5368" w:rsidRPr="00C80E9B" w:rsidRDefault="005E5368" w:rsidP="00C80E9B">
      <w:pPr>
        <w:widowControl w:val="0"/>
        <w:tabs>
          <w:tab w:val="left" w:pos="284"/>
        </w:tabs>
        <w:jc w:val="both"/>
        <w:rPr>
          <w:sz w:val="40"/>
          <w:lang w:val="fr-BE"/>
        </w:rPr>
      </w:pPr>
    </w:p>
    <w:sectPr w:rsidR="005E5368" w:rsidRPr="00C80E9B" w:rsidSect="00974317">
      <w:footerReference w:type="default" r:id="rId2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A105" w14:textId="77777777" w:rsidR="00D37442" w:rsidRDefault="00D37442" w:rsidP="006A3AB9">
      <w:r>
        <w:separator/>
      </w:r>
    </w:p>
  </w:endnote>
  <w:endnote w:type="continuationSeparator" w:id="0">
    <w:p w14:paraId="7C263822" w14:textId="77777777" w:rsidR="00D37442" w:rsidRDefault="00D37442" w:rsidP="006A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2BF9" w14:textId="77777777" w:rsidR="00F839CD" w:rsidRDefault="00F839CD">
    <w:pPr>
      <w:pStyle w:val="Pieddepage"/>
      <w:jc w:val="right"/>
    </w:pPr>
    <w:r>
      <w:fldChar w:fldCharType="begin"/>
    </w:r>
    <w:r>
      <w:instrText xml:space="preserve"> PAGE   \* MERGEFORMAT </w:instrText>
    </w:r>
    <w:r>
      <w:fldChar w:fldCharType="separate"/>
    </w:r>
    <w:r>
      <w:rPr>
        <w:noProof/>
      </w:rPr>
      <w:t>8</w:t>
    </w:r>
    <w:r>
      <w:rPr>
        <w:noProof/>
      </w:rPr>
      <w:fldChar w:fldCharType="end"/>
    </w:r>
  </w:p>
  <w:p w14:paraId="4435C1F4" w14:textId="77777777" w:rsidR="00F839CD" w:rsidRPr="00623656" w:rsidRDefault="00F839CD" w:rsidP="003D25F9">
    <w:pPr>
      <w:pStyle w:val="Pieddepage"/>
      <w:ind w:left="0"/>
      <w:rPr>
        <w:b/>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6AD9" w14:textId="77777777" w:rsidR="00D37442" w:rsidRDefault="00D37442" w:rsidP="006A3AB9">
      <w:r>
        <w:separator/>
      </w:r>
    </w:p>
  </w:footnote>
  <w:footnote w:type="continuationSeparator" w:id="0">
    <w:p w14:paraId="3A12E26E" w14:textId="77777777" w:rsidR="00D37442" w:rsidRDefault="00D37442" w:rsidP="006A3AB9">
      <w:r>
        <w:continuationSeparator/>
      </w:r>
    </w:p>
  </w:footnote>
  <w:footnote w:id="1">
    <w:p w14:paraId="66EAD636" w14:textId="45814BDA" w:rsidR="00F839CD" w:rsidRDefault="00F839CD" w:rsidP="00BE6E20">
      <w:pPr>
        <w:pStyle w:val="Notedebasdepage"/>
        <w:rPr>
          <w:rFonts w:ascii="Arial" w:hAnsi="Arial" w:cs="Arial"/>
          <w:i/>
          <w:iCs w:val="0"/>
          <w:lang w:val="fr-BE"/>
        </w:rPr>
      </w:pPr>
      <w:r w:rsidRPr="00C003A4">
        <w:rPr>
          <w:rStyle w:val="Appelnotedebasdep"/>
          <w:rFonts w:ascii="Arial" w:hAnsi="Arial" w:cs="Arial"/>
          <w:i/>
          <w:iCs w:val="0"/>
        </w:rPr>
        <w:footnoteRef/>
      </w:r>
      <w:r w:rsidRPr="00C003A4">
        <w:rPr>
          <w:rFonts w:ascii="Arial" w:hAnsi="Arial" w:cs="Arial"/>
          <w:i/>
          <w:iCs w:val="0"/>
          <w:lang w:val="fr-BE"/>
        </w:rPr>
        <w:t xml:space="preserve"> Tous les points de raccordement concernés se voient attribuer un même volume de flexibilité, jusqu’à ce que le volume maximal (= le volume total au-delà duquel les Limites de sécurité opérationnelles risquent d’être dépassées) soit attribué, ou que la demande totale de flexibilité d’un des points de raccordement concernés soit satisfaite. La formule exacte d’allocation est la même que celle décrite (dans un autre contexte) à la section 6.01 du document suivant : </w:t>
      </w:r>
    </w:p>
    <w:p w14:paraId="0C47C2EA" w14:textId="12D59280" w:rsidR="00E903CC" w:rsidRPr="00E903CC" w:rsidRDefault="008D1B08" w:rsidP="00BE6E20">
      <w:pPr>
        <w:pStyle w:val="Notedebasdepage"/>
        <w:rPr>
          <w:rFonts w:ascii="Arial" w:hAnsi="Arial" w:cs="Arial"/>
          <w:lang w:val="fr-BE"/>
        </w:rPr>
      </w:pPr>
      <w:r>
        <w:rPr>
          <w:rFonts w:ascii="Arial" w:hAnsi="Arial" w:cs="Arial"/>
          <w:lang w:val="fr-BE"/>
        </w:rPr>
        <w:object w:dxaOrig="1534" w:dyaOrig="997" w14:anchorId="5AECC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50.25pt" o:ole="">
            <v:imagedata r:id="rId1" o:title=""/>
          </v:shape>
          <o:OLEObject Type="Embed" ProgID="AcroExch.Document.DC" ShapeID="_x0000_i1028" DrawAspect="Icon" ObjectID="_1706680343" r:id="rId2"/>
        </w:object>
      </w:r>
    </w:p>
    <w:p w14:paraId="5A28C795" w14:textId="77777777" w:rsidR="00F839CD" w:rsidRPr="00BE6E20" w:rsidRDefault="00F839CD">
      <w:pPr>
        <w:pStyle w:val="Notedebasdepage"/>
        <w:rPr>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32C6F08"/>
    <w:lvl w:ilvl="0">
      <w:start w:val="1"/>
      <w:numFmt w:val="bullet"/>
      <w:pStyle w:val="Listenumros5"/>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5AEC8AE"/>
    <w:lvl w:ilvl="0">
      <w:start w:val="1"/>
      <w:numFmt w:val="bullet"/>
      <w:pStyle w:val="Listepuces2"/>
      <w:lvlText w:val=""/>
      <w:lvlJc w:val="left"/>
      <w:pPr>
        <w:tabs>
          <w:tab w:val="num" w:pos="1721"/>
        </w:tabs>
        <w:ind w:left="1531" w:hanging="170"/>
      </w:pPr>
      <w:rPr>
        <w:rFonts w:ascii="Symbol" w:hAnsi="Symbol" w:hint="default"/>
      </w:rPr>
    </w:lvl>
  </w:abstractNum>
  <w:abstractNum w:abstractNumId="2" w15:restartNumberingAfterBreak="0">
    <w:nsid w:val="02094550"/>
    <w:multiLevelType w:val="hybridMultilevel"/>
    <w:tmpl w:val="B0CC2D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2824A66"/>
    <w:multiLevelType w:val="multilevel"/>
    <w:tmpl w:val="080C0025"/>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48015D3"/>
    <w:multiLevelType w:val="hybridMultilevel"/>
    <w:tmpl w:val="C30065E8"/>
    <w:lvl w:ilvl="0" w:tplc="0980BA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6C8C"/>
    <w:multiLevelType w:val="multilevel"/>
    <w:tmpl w:val="F6CCA3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873A57"/>
    <w:multiLevelType w:val="hybridMultilevel"/>
    <w:tmpl w:val="B93833A8"/>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8F94EEA"/>
    <w:multiLevelType w:val="hybridMultilevel"/>
    <w:tmpl w:val="6568CC9C"/>
    <w:lvl w:ilvl="0" w:tplc="080C0005">
      <w:start w:val="1"/>
      <w:numFmt w:val="bullet"/>
      <w:lvlText w:val=""/>
      <w:lvlJc w:val="left"/>
      <w:pPr>
        <w:ind w:left="2520" w:hanging="360"/>
      </w:pPr>
      <w:rPr>
        <w:rFonts w:ascii="Wingdings" w:hAnsi="Wingding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8" w15:restartNumberingAfterBreak="0">
    <w:nsid w:val="1AB07B58"/>
    <w:multiLevelType w:val="hybridMultilevel"/>
    <w:tmpl w:val="C5EC60D4"/>
    <w:lvl w:ilvl="0" w:tplc="D0028EC8">
      <w:start w:val="1"/>
      <w:numFmt w:val="decimal"/>
      <w:lvlText w:val="%1."/>
      <w:lvlJc w:val="left"/>
      <w:pPr>
        <w:ind w:left="720" w:hanging="360"/>
      </w:pPr>
      <w:rPr>
        <w:rFonts w:ascii="Arial" w:hAnsi="Arial" w:cs="Arial" w:hint="default"/>
      </w:rPr>
    </w:lvl>
    <w:lvl w:ilvl="1" w:tplc="E9D64856">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51D0336"/>
    <w:multiLevelType w:val="hybridMultilevel"/>
    <w:tmpl w:val="9F2E543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5B42444"/>
    <w:multiLevelType w:val="hybridMultilevel"/>
    <w:tmpl w:val="E94CA5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10D6DE5"/>
    <w:multiLevelType w:val="hybridMultilevel"/>
    <w:tmpl w:val="653ACDD4"/>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986787B"/>
    <w:multiLevelType w:val="hybridMultilevel"/>
    <w:tmpl w:val="1A3CF12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40D569C6"/>
    <w:multiLevelType w:val="hybridMultilevel"/>
    <w:tmpl w:val="61E60956"/>
    <w:lvl w:ilvl="0" w:tplc="110C3EF4">
      <w:start w:val="1"/>
      <w:numFmt w:val="bullet"/>
      <w:lvlText w:val=""/>
      <w:lvlJc w:val="left"/>
      <w:pPr>
        <w:ind w:left="936" w:hanging="360"/>
      </w:pPr>
      <w:rPr>
        <w:rFonts w:ascii="Symbol" w:hAnsi="Symbol" w:hint="default"/>
      </w:rPr>
    </w:lvl>
    <w:lvl w:ilvl="1" w:tplc="08130003">
      <w:start w:val="1"/>
      <w:numFmt w:val="bullet"/>
      <w:lvlText w:val="o"/>
      <w:lvlJc w:val="left"/>
      <w:pPr>
        <w:ind w:left="1656" w:hanging="360"/>
      </w:pPr>
      <w:rPr>
        <w:rFonts w:ascii="Courier New" w:hAnsi="Courier New" w:cs="Courier New" w:hint="default"/>
      </w:rPr>
    </w:lvl>
    <w:lvl w:ilvl="2" w:tplc="08130005">
      <w:start w:val="1"/>
      <w:numFmt w:val="bullet"/>
      <w:lvlText w:val=""/>
      <w:lvlJc w:val="left"/>
      <w:pPr>
        <w:ind w:left="2376" w:hanging="360"/>
      </w:pPr>
      <w:rPr>
        <w:rFonts w:ascii="Wingdings" w:hAnsi="Wingdings" w:hint="default"/>
      </w:rPr>
    </w:lvl>
    <w:lvl w:ilvl="3" w:tplc="08130001">
      <w:start w:val="1"/>
      <w:numFmt w:val="bullet"/>
      <w:lvlText w:val=""/>
      <w:lvlJc w:val="left"/>
      <w:pPr>
        <w:ind w:left="3096" w:hanging="360"/>
      </w:pPr>
      <w:rPr>
        <w:rFonts w:ascii="Symbol" w:hAnsi="Symbol" w:hint="default"/>
      </w:rPr>
    </w:lvl>
    <w:lvl w:ilvl="4" w:tplc="08130003">
      <w:start w:val="1"/>
      <w:numFmt w:val="bullet"/>
      <w:lvlText w:val="o"/>
      <w:lvlJc w:val="left"/>
      <w:pPr>
        <w:ind w:left="3816" w:hanging="360"/>
      </w:pPr>
      <w:rPr>
        <w:rFonts w:ascii="Courier New" w:hAnsi="Courier New" w:cs="Courier New" w:hint="default"/>
      </w:rPr>
    </w:lvl>
    <w:lvl w:ilvl="5" w:tplc="08130005">
      <w:start w:val="1"/>
      <w:numFmt w:val="bullet"/>
      <w:lvlText w:val=""/>
      <w:lvlJc w:val="left"/>
      <w:pPr>
        <w:ind w:left="4536" w:hanging="360"/>
      </w:pPr>
      <w:rPr>
        <w:rFonts w:ascii="Wingdings" w:hAnsi="Wingdings" w:hint="default"/>
      </w:rPr>
    </w:lvl>
    <w:lvl w:ilvl="6" w:tplc="08130001">
      <w:start w:val="1"/>
      <w:numFmt w:val="bullet"/>
      <w:lvlText w:val=""/>
      <w:lvlJc w:val="left"/>
      <w:pPr>
        <w:ind w:left="5256" w:hanging="360"/>
      </w:pPr>
      <w:rPr>
        <w:rFonts w:ascii="Symbol" w:hAnsi="Symbol" w:hint="default"/>
      </w:rPr>
    </w:lvl>
    <w:lvl w:ilvl="7" w:tplc="08130003">
      <w:start w:val="1"/>
      <w:numFmt w:val="bullet"/>
      <w:lvlText w:val="o"/>
      <w:lvlJc w:val="left"/>
      <w:pPr>
        <w:ind w:left="5976" w:hanging="360"/>
      </w:pPr>
      <w:rPr>
        <w:rFonts w:ascii="Courier New" w:hAnsi="Courier New" w:cs="Courier New" w:hint="default"/>
      </w:rPr>
    </w:lvl>
    <w:lvl w:ilvl="8" w:tplc="08130005">
      <w:start w:val="1"/>
      <w:numFmt w:val="bullet"/>
      <w:lvlText w:val=""/>
      <w:lvlJc w:val="left"/>
      <w:pPr>
        <w:ind w:left="6696" w:hanging="360"/>
      </w:pPr>
      <w:rPr>
        <w:rFonts w:ascii="Wingdings" w:hAnsi="Wingdings" w:hint="default"/>
      </w:rPr>
    </w:lvl>
  </w:abstractNum>
  <w:abstractNum w:abstractNumId="14" w15:restartNumberingAfterBreak="0">
    <w:nsid w:val="54F030B6"/>
    <w:multiLevelType w:val="hybridMultilevel"/>
    <w:tmpl w:val="E796FEA0"/>
    <w:lvl w:ilvl="0" w:tplc="B9B6F92E">
      <w:start w:val="938"/>
      <w:numFmt w:val="bullet"/>
      <w:lvlText w:val="-"/>
      <w:lvlJc w:val="left"/>
      <w:pPr>
        <w:ind w:left="1004" w:hanging="360"/>
      </w:pPr>
      <w:rPr>
        <w:rFonts w:ascii="Arial" w:eastAsia="SimSun" w:hAnsi="Arial" w:cs="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15:restartNumberingAfterBreak="0">
    <w:nsid w:val="55AA1E12"/>
    <w:multiLevelType w:val="hybridMultilevel"/>
    <w:tmpl w:val="8C62F6CC"/>
    <w:lvl w:ilvl="0" w:tplc="04090001">
      <w:numFmt w:val="bullet"/>
      <w:lvlText w:val="•"/>
      <w:lvlJc w:val="left"/>
      <w:pPr>
        <w:ind w:left="840" w:hanging="480"/>
      </w:pPr>
      <w:rPr>
        <w:rFonts w:ascii="Arial" w:eastAsia="Times New Roman" w:hAnsi="Arial" w:cs="Arial" w:hint="default"/>
      </w:rPr>
    </w:lvl>
    <w:lvl w:ilvl="1" w:tplc="EA008D9A">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9380F1E"/>
    <w:multiLevelType w:val="hybridMultilevel"/>
    <w:tmpl w:val="215C0BE2"/>
    <w:lvl w:ilvl="0" w:tplc="02FCB9C4">
      <w:numFmt w:val="bullet"/>
      <w:lvlText w:val="-"/>
      <w:lvlJc w:val="left"/>
      <w:pPr>
        <w:tabs>
          <w:tab w:val="num" w:pos="720"/>
        </w:tabs>
        <w:ind w:left="720" w:hanging="360"/>
      </w:pPr>
      <w:rPr>
        <w:rFonts w:ascii="Verdana" w:eastAsia="MS Mincho" w:hAnsi="Verdana"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D0F00"/>
    <w:multiLevelType w:val="hybridMultilevel"/>
    <w:tmpl w:val="DC9A871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0211BB0"/>
    <w:multiLevelType w:val="hybridMultilevel"/>
    <w:tmpl w:val="C59459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7353026"/>
    <w:multiLevelType w:val="hybridMultilevel"/>
    <w:tmpl w:val="0A56EA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7FF77DA"/>
    <w:multiLevelType w:val="multilevel"/>
    <w:tmpl w:val="A86602CA"/>
    <w:lvl w:ilvl="0">
      <w:start w:val="4"/>
      <w:numFmt w:val="decimal"/>
      <w:lvlText w:val="%1."/>
      <w:lvlJc w:val="left"/>
      <w:pPr>
        <w:ind w:left="720" w:hanging="360"/>
      </w:pPr>
      <w:rPr>
        <w:rFonts w:hint="default"/>
      </w:rPr>
    </w:lvl>
    <w:lvl w:ilvl="1">
      <w:start w:val="1"/>
      <w:numFmt w:val="decimal"/>
      <w:pStyle w:val="Titre2"/>
      <w:isLgl/>
      <w:lvlText w:val="%1.%2."/>
      <w:lvlJc w:val="left"/>
      <w:pPr>
        <w:ind w:left="716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9F59C5"/>
    <w:multiLevelType w:val="hybridMultilevel"/>
    <w:tmpl w:val="DA2AFDF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1FF02E1"/>
    <w:multiLevelType w:val="hybridMultilevel"/>
    <w:tmpl w:val="6742EC1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3EF7BA3"/>
    <w:multiLevelType w:val="hybridMultilevel"/>
    <w:tmpl w:val="6520FC08"/>
    <w:lvl w:ilvl="0" w:tplc="B7ACF194">
      <w:numFmt w:val="bullet"/>
      <w:lvlText w:val="-"/>
      <w:lvlJc w:val="left"/>
      <w:pPr>
        <w:ind w:left="720" w:hanging="360"/>
      </w:pPr>
      <w:rPr>
        <w:rFonts w:ascii="Arial" w:eastAsia="SimSu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E8F1134"/>
    <w:multiLevelType w:val="hybridMultilevel"/>
    <w:tmpl w:val="C21894E2"/>
    <w:lvl w:ilvl="0" w:tplc="A1F018EA">
      <w:start w:val="1"/>
      <w:numFmt w:val="lowerLetter"/>
      <w:lvlText w:val="%1)"/>
      <w:lvlJc w:val="left"/>
      <w:pPr>
        <w:ind w:left="360" w:hanging="360"/>
      </w:pPr>
      <w:rPr>
        <w:rFonts w:ascii="Arial" w:hAnsi="Arial" w:cs="Arial" w:hint="default"/>
      </w:rPr>
    </w:lvl>
    <w:lvl w:ilvl="1" w:tplc="136A0878">
      <w:start w:val="1"/>
      <w:numFmt w:val="bullet"/>
      <w:lvlText w:val="o"/>
      <w:lvlJc w:val="left"/>
      <w:pPr>
        <w:ind w:left="1080" w:hanging="360"/>
      </w:pPr>
      <w:rPr>
        <w:rFonts w:ascii="Courier New" w:hAnsi="Courier New" w:cs="Courier New" w:hint="default"/>
        <w:strike w:val="0"/>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2"/>
  </w:num>
  <w:num w:numId="4">
    <w:abstractNumId w:val="15"/>
  </w:num>
  <w:num w:numId="5">
    <w:abstractNumId w:val="10"/>
  </w:num>
  <w:num w:numId="6">
    <w:abstractNumId w:val="16"/>
  </w:num>
  <w:num w:numId="7">
    <w:abstractNumId w:val="11"/>
  </w:num>
  <w:num w:numId="8">
    <w:abstractNumId w:val="6"/>
  </w:num>
  <w:num w:numId="9">
    <w:abstractNumId w:val="19"/>
  </w:num>
  <w:num w:numId="10">
    <w:abstractNumId w:val="12"/>
  </w:num>
  <w:num w:numId="11">
    <w:abstractNumId w:val="21"/>
  </w:num>
  <w:num w:numId="12">
    <w:abstractNumId w:val="9"/>
  </w:num>
  <w:num w:numId="13">
    <w:abstractNumId w:val="17"/>
  </w:num>
  <w:num w:numId="14">
    <w:abstractNumId w:val="18"/>
  </w:num>
  <w:num w:numId="15">
    <w:abstractNumId w:val="8"/>
  </w:num>
  <w:num w:numId="16">
    <w:abstractNumId w:val="14"/>
  </w:num>
  <w:num w:numId="17">
    <w:abstractNumId w:val="23"/>
  </w:num>
  <w:num w:numId="18">
    <w:abstractNumId w:val="24"/>
  </w:num>
  <w:num w:numId="19">
    <w:abstractNumId w:val="20"/>
  </w:num>
  <w:num w:numId="20">
    <w:abstractNumId w:val="2"/>
  </w:num>
  <w:num w:numId="21">
    <w:abstractNumId w:val="3"/>
  </w:num>
  <w:num w:numId="22">
    <w:abstractNumId w:val="5"/>
  </w:num>
  <w:num w:numId="23">
    <w:abstractNumId w:val="7"/>
  </w:num>
  <w:num w:numId="24">
    <w:abstractNumId w:val="13"/>
  </w:num>
  <w:num w:numId="25">
    <w:abstractNumId w:val="4"/>
  </w:num>
  <w:num w:numId="2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B9"/>
    <w:rsid w:val="0000038E"/>
    <w:rsid w:val="000004B5"/>
    <w:rsid w:val="00005A95"/>
    <w:rsid w:val="00005BA5"/>
    <w:rsid w:val="00011E92"/>
    <w:rsid w:val="00012738"/>
    <w:rsid w:val="0001489C"/>
    <w:rsid w:val="00016748"/>
    <w:rsid w:val="00016D75"/>
    <w:rsid w:val="000227FA"/>
    <w:rsid w:val="00022AAC"/>
    <w:rsid w:val="00024BAE"/>
    <w:rsid w:val="00025419"/>
    <w:rsid w:val="00025D3D"/>
    <w:rsid w:val="00026200"/>
    <w:rsid w:val="000272D5"/>
    <w:rsid w:val="00027AF0"/>
    <w:rsid w:val="00030129"/>
    <w:rsid w:val="00031AFA"/>
    <w:rsid w:val="00031FA9"/>
    <w:rsid w:val="00033A55"/>
    <w:rsid w:val="000368BE"/>
    <w:rsid w:val="00042036"/>
    <w:rsid w:val="0004455F"/>
    <w:rsid w:val="000470E7"/>
    <w:rsid w:val="00047CA6"/>
    <w:rsid w:val="000505F5"/>
    <w:rsid w:val="000510B0"/>
    <w:rsid w:val="00054CFF"/>
    <w:rsid w:val="00060F02"/>
    <w:rsid w:val="00060F54"/>
    <w:rsid w:val="00064167"/>
    <w:rsid w:val="00064F93"/>
    <w:rsid w:val="0006520B"/>
    <w:rsid w:val="00067D8A"/>
    <w:rsid w:val="00073D83"/>
    <w:rsid w:val="00075241"/>
    <w:rsid w:val="0007576D"/>
    <w:rsid w:val="0007631A"/>
    <w:rsid w:val="00085659"/>
    <w:rsid w:val="0008598C"/>
    <w:rsid w:val="0008607C"/>
    <w:rsid w:val="0009043F"/>
    <w:rsid w:val="00091F2C"/>
    <w:rsid w:val="000934B7"/>
    <w:rsid w:val="00095D04"/>
    <w:rsid w:val="00095D0D"/>
    <w:rsid w:val="0009622B"/>
    <w:rsid w:val="000A0EA4"/>
    <w:rsid w:val="000A1CC4"/>
    <w:rsid w:val="000A1CF6"/>
    <w:rsid w:val="000A2ED3"/>
    <w:rsid w:val="000A6A27"/>
    <w:rsid w:val="000A6F55"/>
    <w:rsid w:val="000A772B"/>
    <w:rsid w:val="000B2D51"/>
    <w:rsid w:val="000B2DF6"/>
    <w:rsid w:val="000B4722"/>
    <w:rsid w:val="000B4D0B"/>
    <w:rsid w:val="000B5E77"/>
    <w:rsid w:val="000B63FE"/>
    <w:rsid w:val="000B7638"/>
    <w:rsid w:val="000B76D7"/>
    <w:rsid w:val="000B7B58"/>
    <w:rsid w:val="000C0D10"/>
    <w:rsid w:val="000C3FCC"/>
    <w:rsid w:val="000C4B6A"/>
    <w:rsid w:val="000C4BED"/>
    <w:rsid w:val="000D008E"/>
    <w:rsid w:val="000D050D"/>
    <w:rsid w:val="000D28EE"/>
    <w:rsid w:val="000D3C74"/>
    <w:rsid w:val="000D7720"/>
    <w:rsid w:val="000E1C49"/>
    <w:rsid w:val="000E3BFD"/>
    <w:rsid w:val="000E3FDC"/>
    <w:rsid w:val="000E4335"/>
    <w:rsid w:val="000E44BC"/>
    <w:rsid w:val="000E4616"/>
    <w:rsid w:val="000E59B5"/>
    <w:rsid w:val="000F09C7"/>
    <w:rsid w:val="000F26AE"/>
    <w:rsid w:val="000F2DE9"/>
    <w:rsid w:val="000F4009"/>
    <w:rsid w:val="000F51C8"/>
    <w:rsid w:val="000F5B4E"/>
    <w:rsid w:val="00102135"/>
    <w:rsid w:val="00102695"/>
    <w:rsid w:val="0010373C"/>
    <w:rsid w:val="00103B49"/>
    <w:rsid w:val="00103D30"/>
    <w:rsid w:val="00104BCC"/>
    <w:rsid w:val="001052D7"/>
    <w:rsid w:val="00105788"/>
    <w:rsid w:val="00106216"/>
    <w:rsid w:val="00106465"/>
    <w:rsid w:val="00110147"/>
    <w:rsid w:val="00110DA6"/>
    <w:rsid w:val="00111DE4"/>
    <w:rsid w:val="001145B1"/>
    <w:rsid w:val="00115122"/>
    <w:rsid w:val="00115C2D"/>
    <w:rsid w:val="00115D90"/>
    <w:rsid w:val="00117523"/>
    <w:rsid w:val="001215F3"/>
    <w:rsid w:val="0012185C"/>
    <w:rsid w:val="001223B6"/>
    <w:rsid w:val="001224A0"/>
    <w:rsid w:val="001227C0"/>
    <w:rsid w:val="001230A3"/>
    <w:rsid w:val="001250D5"/>
    <w:rsid w:val="00125E0E"/>
    <w:rsid w:val="00127D56"/>
    <w:rsid w:val="001326F0"/>
    <w:rsid w:val="001337B9"/>
    <w:rsid w:val="0013490F"/>
    <w:rsid w:val="00137094"/>
    <w:rsid w:val="001375EF"/>
    <w:rsid w:val="00143677"/>
    <w:rsid w:val="00144D59"/>
    <w:rsid w:val="00145002"/>
    <w:rsid w:val="001511CE"/>
    <w:rsid w:val="00151523"/>
    <w:rsid w:val="00151720"/>
    <w:rsid w:val="001526B9"/>
    <w:rsid w:val="0015667D"/>
    <w:rsid w:val="00161465"/>
    <w:rsid w:val="00161ECA"/>
    <w:rsid w:val="001640A2"/>
    <w:rsid w:val="00167734"/>
    <w:rsid w:val="00170233"/>
    <w:rsid w:val="0017050E"/>
    <w:rsid w:val="0017063B"/>
    <w:rsid w:val="001737B4"/>
    <w:rsid w:val="00175AA2"/>
    <w:rsid w:val="001766DD"/>
    <w:rsid w:val="00176DF3"/>
    <w:rsid w:val="0018270D"/>
    <w:rsid w:val="001852C6"/>
    <w:rsid w:val="001869AC"/>
    <w:rsid w:val="00192DA4"/>
    <w:rsid w:val="00193447"/>
    <w:rsid w:val="001939E0"/>
    <w:rsid w:val="001941C8"/>
    <w:rsid w:val="00195368"/>
    <w:rsid w:val="00195713"/>
    <w:rsid w:val="00195C7C"/>
    <w:rsid w:val="00196D53"/>
    <w:rsid w:val="0019745B"/>
    <w:rsid w:val="001A06F8"/>
    <w:rsid w:val="001A1D73"/>
    <w:rsid w:val="001A20C3"/>
    <w:rsid w:val="001A469D"/>
    <w:rsid w:val="001A4A6F"/>
    <w:rsid w:val="001A5FB6"/>
    <w:rsid w:val="001A71D7"/>
    <w:rsid w:val="001A7A56"/>
    <w:rsid w:val="001B0CBF"/>
    <w:rsid w:val="001B19BE"/>
    <w:rsid w:val="001B570E"/>
    <w:rsid w:val="001B732C"/>
    <w:rsid w:val="001C238F"/>
    <w:rsid w:val="001C5AB3"/>
    <w:rsid w:val="001D1A1A"/>
    <w:rsid w:val="001D2248"/>
    <w:rsid w:val="001D2CC9"/>
    <w:rsid w:val="001D3A15"/>
    <w:rsid w:val="001D50A5"/>
    <w:rsid w:val="001E1A8D"/>
    <w:rsid w:val="001E1C09"/>
    <w:rsid w:val="001E2546"/>
    <w:rsid w:val="001E2B76"/>
    <w:rsid w:val="001E4255"/>
    <w:rsid w:val="001E5205"/>
    <w:rsid w:val="001E5FDB"/>
    <w:rsid w:val="001E6592"/>
    <w:rsid w:val="001F0A7C"/>
    <w:rsid w:val="001F2584"/>
    <w:rsid w:val="001F2A69"/>
    <w:rsid w:val="001F41B7"/>
    <w:rsid w:val="001F5CAC"/>
    <w:rsid w:val="001F6AD5"/>
    <w:rsid w:val="00202234"/>
    <w:rsid w:val="00202288"/>
    <w:rsid w:val="002031B9"/>
    <w:rsid w:val="00204536"/>
    <w:rsid w:val="00205126"/>
    <w:rsid w:val="002125F4"/>
    <w:rsid w:val="00212DBC"/>
    <w:rsid w:val="0021453C"/>
    <w:rsid w:val="002152A3"/>
    <w:rsid w:val="00215B91"/>
    <w:rsid w:val="002215D9"/>
    <w:rsid w:val="00222244"/>
    <w:rsid w:val="002238BF"/>
    <w:rsid w:val="0022462A"/>
    <w:rsid w:val="00224785"/>
    <w:rsid w:val="0022567D"/>
    <w:rsid w:val="002258DC"/>
    <w:rsid w:val="00226056"/>
    <w:rsid w:val="002265E2"/>
    <w:rsid w:val="00226B44"/>
    <w:rsid w:val="00227D0E"/>
    <w:rsid w:val="00233885"/>
    <w:rsid w:val="002374C8"/>
    <w:rsid w:val="002401D9"/>
    <w:rsid w:val="002412EB"/>
    <w:rsid w:val="00244070"/>
    <w:rsid w:val="0024631E"/>
    <w:rsid w:val="00251186"/>
    <w:rsid w:val="002511D4"/>
    <w:rsid w:val="00255F43"/>
    <w:rsid w:val="00257DCA"/>
    <w:rsid w:val="00260A7C"/>
    <w:rsid w:val="00262C84"/>
    <w:rsid w:val="00263002"/>
    <w:rsid w:val="00264943"/>
    <w:rsid w:val="00271014"/>
    <w:rsid w:val="002715D4"/>
    <w:rsid w:val="00271821"/>
    <w:rsid w:val="002725C9"/>
    <w:rsid w:val="002748D3"/>
    <w:rsid w:val="00274CE1"/>
    <w:rsid w:val="00274EFB"/>
    <w:rsid w:val="00275179"/>
    <w:rsid w:val="002757E9"/>
    <w:rsid w:val="002828B4"/>
    <w:rsid w:val="002858D6"/>
    <w:rsid w:val="00287BEF"/>
    <w:rsid w:val="002904D9"/>
    <w:rsid w:val="00291A2D"/>
    <w:rsid w:val="0029313C"/>
    <w:rsid w:val="00293A1E"/>
    <w:rsid w:val="0029569E"/>
    <w:rsid w:val="00297B5D"/>
    <w:rsid w:val="002A2533"/>
    <w:rsid w:val="002A3E4D"/>
    <w:rsid w:val="002B339C"/>
    <w:rsid w:val="002B34DB"/>
    <w:rsid w:val="002B5B93"/>
    <w:rsid w:val="002B666A"/>
    <w:rsid w:val="002C0543"/>
    <w:rsid w:val="002C0A36"/>
    <w:rsid w:val="002C0EBD"/>
    <w:rsid w:val="002C13A0"/>
    <w:rsid w:val="002C1B3C"/>
    <w:rsid w:val="002C2427"/>
    <w:rsid w:val="002C26BA"/>
    <w:rsid w:val="002C4468"/>
    <w:rsid w:val="002C757B"/>
    <w:rsid w:val="002D1143"/>
    <w:rsid w:val="002D212D"/>
    <w:rsid w:val="002D306F"/>
    <w:rsid w:val="002D3C54"/>
    <w:rsid w:val="002D40CC"/>
    <w:rsid w:val="002D4454"/>
    <w:rsid w:val="002D46C6"/>
    <w:rsid w:val="002D55A8"/>
    <w:rsid w:val="002D5ACE"/>
    <w:rsid w:val="002D713A"/>
    <w:rsid w:val="002E0C1E"/>
    <w:rsid w:val="002E17DF"/>
    <w:rsid w:val="002E2448"/>
    <w:rsid w:val="002E2D1D"/>
    <w:rsid w:val="002E346F"/>
    <w:rsid w:val="002E3FC4"/>
    <w:rsid w:val="002E49C7"/>
    <w:rsid w:val="002E5593"/>
    <w:rsid w:val="002E58B6"/>
    <w:rsid w:val="002F105A"/>
    <w:rsid w:val="002F1349"/>
    <w:rsid w:val="002F16E6"/>
    <w:rsid w:val="002F1776"/>
    <w:rsid w:val="002F1CA5"/>
    <w:rsid w:val="002F309C"/>
    <w:rsid w:val="002F517E"/>
    <w:rsid w:val="002F761C"/>
    <w:rsid w:val="0030160E"/>
    <w:rsid w:val="003033FE"/>
    <w:rsid w:val="00303A6F"/>
    <w:rsid w:val="00304E00"/>
    <w:rsid w:val="003060E0"/>
    <w:rsid w:val="003064ED"/>
    <w:rsid w:val="00306767"/>
    <w:rsid w:val="00306C3D"/>
    <w:rsid w:val="003071EB"/>
    <w:rsid w:val="003103A4"/>
    <w:rsid w:val="00311740"/>
    <w:rsid w:val="00311827"/>
    <w:rsid w:val="00312C4F"/>
    <w:rsid w:val="003137E0"/>
    <w:rsid w:val="00315241"/>
    <w:rsid w:val="00316C66"/>
    <w:rsid w:val="0032220B"/>
    <w:rsid w:val="00322698"/>
    <w:rsid w:val="0032318B"/>
    <w:rsid w:val="00326D4C"/>
    <w:rsid w:val="003325F7"/>
    <w:rsid w:val="003352F1"/>
    <w:rsid w:val="00337721"/>
    <w:rsid w:val="00341390"/>
    <w:rsid w:val="00341A4F"/>
    <w:rsid w:val="003422DF"/>
    <w:rsid w:val="003431F1"/>
    <w:rsid w:val="0034470A"/>
    <w:rsid w:val="00344DB8"/>
    <w:rsid w:val="00350D86"/>
    <w:rsid w:val="0035473B"/>
    <w:rsid w:val="00355943"/>
    <w:rsid w:val="00356D61"/>
    <w:rsid w:val="00357E11"/>
    <w:rsid w:val="00361BAF"/>
    <w:rsid w:val="00363196"/>
    <w:rsid w:val="003633A1"/>
    <w:rsid w:val="0036603E"/>
    <w:rsid w:val="00367690"/>
    <w:rsid w:val="00370906"/>
    <w:rsid w:val="00371EE4"/>
    <w:rsid w:val="0037217F"/>
    <w:rsid w:val="00374908"/>
    <w:rsid w:val="0037584C"/>
    <w:rsid w:val="00376882"/>
    <w:rsid w:val="003836E5"/>
    <w:rsid w:val="00384BE0"/>
    <w:rsid w:val="00385DEC"/>
    <w:rsid w:val="00386BF6"/>
    <w:rsid w:val="0039111F"/>
    <w:rsid w:val="00391A89"/>
    <w:rsid w:val="00391C9A"/>
    <w:rsid w:val="00391E7D"/>
    <w:rsid w:val="00391F6B"/>
    <w:rsid w:val="0039374B"/>
    <w:rsid w:val="00394692"/>
    <w:rsid w:val="00394A10"/>
    <w:rsid w:val="00394D8A"/>
    <w:rsid w:val="003A0652"/>
    <w:rsid w:val="003A43EA"/>
    <w:rsid w:val="003A6746"/>
    <w:rsid w:val="003A70CA"/>
    <w:rsid w:val="003A721C"/>
    <w:rsid w:val="003A7E14"/>
    <w:rsid w:val="003B3492"/>
    <w:rsid w:val="003B360D"/>
    <w:rsid w:val="003B3E0E"/>
    <w:rsid w:val="003B7B24"/>
    <w:rsid w:val="003C3460"/>
    <w:rsid w:val="003C4407"/>
    <w:rsid w:val="003C4F22"/>
    <w:rsid w:val="003C5EA0"/>
    <w:rsid w:val="003C67ED"/>
    <w:rsid w:val="003C746C"/>
    <w:rsid w:val="003D0363"/>
    <w:rsid w:val="003D25F9"/>
    <w:rsid w:val="003D3729"/>
    <w:rsid w:val="003D4EAD"/>
    <w:rsid w:val="003E02E4"/>
    <w:rsid w:val="003E1B92"/>
    <w:rsid w:val="003E70A8"/>
    <w:rsid w:val="003E7F67"/>
    <w:rsid w:val="003F5035"/>
    <w:rsid w:val="003F5C9B"/>
    <w:rsid w:val="00401737"/>
    <w:rsid w:val="00402922"/>
    <w:rsid w:val="00402A92"/>
    <w:rsid w:val="00404273"/>
    <w:rsid w:val="004048AC"/>
    <w:rsid w:val="00405334"/>
    <w:rsid w:val="004058ED"/>
    <w:rsid w:val="00406075"/>
    <w:rsid w:val="00415F4E"/>
    <w:rsid w:val="00422643"/>
    <w:rsid w:val="00422876"/>
    <w:rsid w:val="00422E94"/>
    <w:rsid w:val="00423862"/>
    <w:rsid w:val="00423DCC"/>
    <w:rsid w:val="004241F4"/>
    <w:rsid w:val="00424E32"/>
    <w:rsid w:val="00426207"/>
    <w:rsid w:val="004316FF"/>
    <w:rsid w:val="0043265A"/>
    <w:rsid w:val="00432664"/>
    <w:rsid w:val="0043361A"/>
    <w:rsid w:val="004350CC"/>
    <w:rsid w:val="00435888"/>
    <w:rsid w:val="00435A11"/>
    <w:rsid w:val="00435B33"/>
    <w:rsid w:val="00441546"/>
    <w:rsid w:val="00442286"/>
    <w:rsid w:val="004438A6"/>
    <w:rsid w:val="0044390D"/>
    <w:rsid w:val="00446A18"/>
    <w:rsid w:val="00447FDE"/>
    <w:rsid w:val="004512CF"/>
    <w:rsid w:val="0045135F"/>
    <w:rsid w:val="00455946"/>
    <w:rsid w:val="00455CD5"/>
    <w:rsid w:val="00460696"/>
    <w:rsid w:val="004609AA"/>
    <w:rsid w:val="004617A4"/>
    <w:rsid w:val="0046189A"/>
    <w:rsid w:val="0046549F"/>
    <w:rsid w:val="004654E1"/>
    <w:rsid w:val="00465C0D"/>
    <w:rsid w:val="00465F85"/>
    <w:rsid w:val="004675E4"/>
    <w:rsid w:val="0047005A"/>
    <w:rsid w:val="004714BB"/>
    <w:rsid w:val="0047155B"/>
    <w:rsid w:val="00471A1D"/>
    <w:rsid w:val="00471E36"/>
    <w:rsid w:val="00472336"/>
    <w:rsid w:val="00473EF3"/>
    <w:rsid w:val="00474B55"/>
    <w:rsid w:val="0047607D"/>
    <w:rsid w:val="00477391"/>
    <w:rsid w:val="004800A6"/>
    <w:rsid w:val="004803AA"/>
    <w:rsid w:val="00480521"/>
    <w:rsid w:val="00482D46"/>
    <w:rsid w:val="00483332"/>
    <w:rsid w:val="0048526C"/>
    <w:rsid w:val="00485C5D"/>
    <w:rsid w:val="00486E5B"/>
    <w:rsid w:val="00487CB5"/>
    <w:rsid w:val="00491EF2"/>
    <w:rsid w:val="00491F61"/>
    <w:rsid w:val="004928DB"/>
    <w:rsid w:val="00492C5F"/>
    <w:rsid w:val="0049426E"/>
    <w:rsid w:val="0049521A"/>
    <w:rsid w:val="00495224"/>
    <w:rsid w:val="00496974"/>
    <w:rsid w:val="004A2840"/>
    <w:rsid w:val="004A3076"/>
    <w:rsid w:val="004A4222"/>
    <w:rsid w:val="004A47D3"/>
    <w:rsid w:val="004A47FE"/>
    <w:rsid w:val="004A5972"/>
    <w:rsid w:val="004A6E03"/>
    <w:rsid w:val="004A7300"/>
    <w:rsid w:val="004B0742"/>
    <w:rsid w:val="004B08CF"/>
    <w:rsid w:val="004B26C0"/>
    <w:rsid w:val="004B3285"/>
    <w:rsid w:val="004B359E"/>
    <w:rsid w:val="004B4C28"/>
    <w:rsid w:val="004B5427"/>
    <w:rsid w:val="004C484D"/>
    <w:rsid w:val="004D0260"/>
    <w:rsid w:val="004D0C42"/>
    <w:rsid w:val="004D151B"/>
    <w:rsid w:val="004D2AF6"/>
    <w:rsid w:val="004D4056"/>
    <w:rsid w:val="004D40D9"/>
    <w:rsid w:val="004D45E7"/>
    <w:rsid w:val="004D4D19"/>
    <w:rsid w:val="004D6182"/>
    <w:rsid w:val="004D61A5"/>
    <w:rsid w:val="004D71AB"/>
    <w:rsid w:val="004D7234"/>
    <w:rsid w:val="004D78E3"/>
    <w:rsid w:val="004D7AA2"/>
    <w:rsid w:val="004E30B5"/>
    <w:rsid w:val="004E5BE8"/>
    <w:rsid w:val="004F0246"/>
    <w:rsid w:val="004F0A39"/>
    <w:rsid w:val="004F11A3"/>
    <w:rsid w:val="004F2332"/>
    <w:rsid w:val="004F33AE"/>
    <w:rsid w:val="004F41DE"/>
    <w:rsid w:val="00500A02"/>
    <w:rsid w:val="005023AB"/>
    <w:rsid w:val="00502F07"/>
    <w:rsid w:val="005034A7"/>
    <w:rsid w:val="0050699D"/>
    <w:rsid w:val="00511078"/>
    <w:rsid w:val="0051132A"/>
    <w:rsid w:val="00511CC0"/>
    <w:rsid w:val="00511D8C"/>
    <w:rsid w:val="00512380"/>
    <w:rsid w:val="0051308C"/>
    <w:rsid w:val="0051310A"/>
    <w:rsid w:val="0051340F"/>
    <w:rsid w:val="0051419E"/>
    <w:rsid w:val="005159CE"/>
    <w:rsid w:val="00516CB2"/>
    <w:rsid w:val="00520723"/>
    <w:rsid w:val="00520A22"/>
    <w:rsid w:val="005218C4"/>
    <w:rsid w:val="005225AD"/>
    <w:rsid w:val="00522B53"/>
    <w:rsid w:val="00523C60"/>
    <w:rsid w:val="0052416B"/>
    <w:rsid w:val="005253DB"/>
    <w:rsid w:val="0052573D"/>
    <w:rsid w:val="005260D8"/>
    <w:rsid w:val="005311CB"/>
    <w:rsid w:val="00531321"/>
    <w:rsid w:val="00533038"/>
    <w:rsid w:val="00536632"/>
    <w:rsid w:val="0053684F"/>
    <w:rsid w:val="0053724B"/>
    <w:rsid w:val="00541F09"/>
    <w:rsid w:val="0055160A"/>
    <w:rsid w:val="00553D1C"/>
    <w:rsid w:val="00554042"/>
    <w:rsid w:val="005556EA"/>
    <w:rsid w:val="005559F5"/>
    <w:rsid w:val="005601AB"/>
    <w:rsid w:val="00560B12"/>
    <w:rsid w:val="005612D3"/>
    <w:rsid w:val="0056285C"/>
    <w:rsid w:val="00564A75"/>
    <w:rsid w:val="00565779"/>
    <w:rsid w:val="005659BE"/>
    <w:rsid w:val="00565C92"/>
    <w:rsid w:val="00566EF0"/>
    <w:rsid w:val="00567448"/>
    <w:rsid w:val="00567DBA"/>
    <w:rsid w:val="00572667"/>
    <w:rsid w:val="00573750"/>
    <w:rsid w:val="0057477F"/>
    <w:rsid w:val="00574CAB"/>
    <w:rsid w:val="00574FD7"/>
    <w:rsid w:val="00576733"/>
    <w:rsid w:val="00576D74"/>
    <w:rsid w:val="00593CF5"/>
    <w:rsid w:val="00594B26"/>
    <w:rsid w:val="00594C67"/>
    <w:rsid w:val="00595FC1"/>
    <w:rsid w:val="0059621A"/>
    <w:rsid w:val="005969A1"/>
    <w:rsid w:val="005A489E"/>
    <w:rsid w:val="005A519B"/>
    <w:rsid w:val="005A6DC0"/>
    <w:rsid w:val="005B1442"/>
    <w:rsid w:val="005B3C94"/>
    <w:rsid w:val="005B484D"/>
    <w:rsid w:val="005B575A"/>
    <w:rsid w:val="005C0F16"/>
    <w:rsid w:val="005C1D12"/>
    <w:rsid w:val="005C2795"/>
    <w:rsid w:val="005C4308"/>
    <w:rsid w:val="005C7480"/>
    <w:rsid w:val="005D088B"/>
    <w:rsid w:val="005D1325"/>
    <w:rsid w:val="005D15D3"/>
    <w:rsid w:val="005D28BE"/>
    <w:rsid w:val="005D2A4E"/>
    <w:rsid w:val="005D304D"/>
    <w:rsid w:val="005D5D69"/>
    <w:rsid w:val="005D78E9"/>
    <w:rsid w:val="005D7F15"/>
    <w:rsid w:val="005E1280"/>
    <w:rsid w:val="005E42D8"/>
    <w:rsid w:val="005E4BDF"/>
    <w:rsid w:val="005E5368"/>
    <w:rsid w:val="005E7534"/>
    <w:rsid w:val="005F0E28"/>
    <w:rsid w:val="005F191F"/>
    <w:rsid w:val="005F404A"/>
    <w:rsid w:val="005F4874"/>
    <w:rsid w:val="005F4EA9"/>
    <w:rsid w:val="005F5417"/>
    <w:rsid w:val="005F5466"/>
    <w:rsid w:val="00601240"/>
    <w:rsid w:val="0060180B"/>
    <w:rsid w:val="006032A6"/>
    <w:rsid w:val="00605096"/>
    <w:rsid w:val="0060522D"/>
    <w:rsid w:val="00605FC6"/>
    <w:rsid w:val="00606124"/>
    <w:rsid w:val="006079B1"/>
    <w:rsid w:val="006109B2"/>
    <w:rsid w:val="006118CB"/>
    <w:rsid w:val="00612081"/>
    <w:rsid w:val="00612399"/>
    <w:rsid w:val="0061321F"/>
    <w:rsid w:val="006135DA"/>
    <w:rsid w:val="00617C61"/>
    <w:rsid w:val="00623656"/>
    <w:rsid w:val="0062370B"/>
    <w:rsid w:val="00624BA0"/>
    <w:rsid w:val="00625EBE"/>
    <w:rsid w:val="006260D0"/>
    <w:rsid w:val="0063332F"/>
    <w:rsid w:val="006334F5"/>
    <w:rsid w:val="00634AFA"/>
    <w:rsid w:val="006351FD"/>
    <w:rsid w:val="00636262"/>
    <w:rsid w:val="00636F69"/>
    <w:rsid w:val="0063732F"/>
    <w:rsid w:val="00637899"/>
    <w:rsid w:val="006456D2"/>
    <w:rsid w:val="00646916"/>
    <w:rsid w:val="006514C3"/>
    <w:rsid w:val="0065234E"/>
    <w:rsid w:val="006532CD"/>
    <w:rsid w:val="00653E24"/>
    <w:rsid w:val="00654042"/>
    <w:rsid w:val="00660A65"/>
    <w:rsid w:val="00661166"/>
    <w:rsid w:val="00662D08"/>
    <w:rsid w:val="006634DD"/>
    <w:rsid w:val="006658CD"/>
    <w:rsid w:val="0066618F"/>
    <w:rsid w:val="006720CC"/>
    <w:rsid w:val="006726FE"/>
    <w:rsid w:val="00672EAE"/>
    <w:rsid w:val="0067462A"/>
    <w:rsid w:val="00676072"/>
    <w:rsid w:val="00677AF9"/>
    <w:rsid w:val="0068095B"/>
    <w:rsid w:val="00683CB6"/>
    <w:rsid w:val="00684ABB"/>
    <w:rsid w:val="00684BBB"/>
    <w:rsid w:val="00687A17"/>
    <w:rsid w:val="00687B33"/>
    <w:rsid w:val="00690389"/>
    <w:rsid w:val="00690FBB"/>
    <w:rsid w:val="00692735"/>
    <w:rsid w:val="00693EBD"/>
    <w:rsid w:val="006963F3"/>
    <w:rsid w:val="006965F5"/>
    <w:rsid w:val="006969AD"/>
    <w:rsid w:val="00697B95"/>
    <w:rsid w:val="006A3194"/>
    <w:rsid w:val="006A3AB9"/>
    <w:rsid w:val="006A3DE9"/>
    <w:rsid w:val="006A4AD9"/>
    <w:rsid w:val="006A52C3"/>
    <w:rsid w:val="006A6A66"/>
    <w:rsid w:val="006B1EC3"/>
    <w:rsid w:val="006B386F"/>
    <w:rsid w:val="006B454B"/>
    <w:rsid w:val="006B497B"/>
    <w:rsid w:val="006B50CA"/>
    <w:rsid w:val="006B57B0"/>
    <w:rsid w:val="006B7712"/>
    <w:rsid w:val="006C15B4"/>
    <w:rsid w:val="006C1CF5"/>
    <w:rsid w:val="006C1D44"/>
    <w:rsid w:val="006C4C46"/>
    <w:rsid w:val="006C5BFF"/>
    <w:rsid w:val="006D0D9C"/>
    <w:rsid w:val="006D30AB"/>
    <w:rsid w:val="006D4278"/>
    <w:rsid w:val="006E0522"/>
    <w:rsid w:val="006E4652"/>
    <w:rsid w:val="006F142B"/>
    <w:rsid w:val="006F57C3"/>
    <w:rsid w:val="006F5A30"/>
    <w:rsid w:val="00700019"/>
    <w:rsid w:val="00700C7B"/>
    <w:rsid w:val="00702395"/>
    <w:rsid w:val="00705F02"/>
    <w:rsid w:val="00706A98"/>
    <w:rsid w:val="007134E4"/>
    <w:rsid w:val="00713A6B"/>
    <w:rsid w:val="007153A5"/>
    <w:rsid w:val="00715539"/>
    <w:rsid w:val="00716E21"/>
    <w:rsid w:val="00716F5F"/>
    <w:rsid w:val="00717207"/>
    <w:rsid w:val="0072244F"/>
    <w:rsid w:val="00723F80"/>
    <w:rsid w:val="007253C5"/>
    <w:rsid w:val="00733079"/>
    <w:rsid w:val="00734075"/>
    <w:rsid w:val="00736604"/>
    <w:rsid w:val="00736EE9"/>
    <w:rsid w:val="007372BA"/>
    <w:rsid w:val="00742FF7"/>
    <w:rsid w:val="00743A81"/>
    <w:rsid w:val="00743BBD"/>
    <w:rsid w:val="00743C6B"/>
    <w:rsid w:val="007453FB"/>
    <w:rsid w:val="007457E8"/>
    <w:rsid w:val="0074670D"/>
    <w:rsid w:val="00747F45"/>
    <w:rsid w:val="007502C3"/>
    <w:rsid w:val="00750FF6"/>
    <w:rsid w:val="007526DB"/>
    <w:rsid w:val="007530C0"/>
    <w:rsid w:val="00754C2D"/>
    <w:rsid w:val="007566B8"/>
    <w:rsid w:val="00757979"/>
    <w:rsid w:val="00760B5C"/>
    <w:rsid w:val="007616D0"/>
    <w:rsid w:val="00762072"/>
    <w:rsid w:val="0076286F"/>
    <w:rsid w:val="007632D1"/>
    <w:rsid w:val="00766183"/>
    <w:rsid w:val="0076648A"/>
    <w:rsid w:val="0076741B"/>
    <w:rsid w:val="00767453"/>
    <w:rsid w:val="00767A0C"/>
    <w:rsid w:val="00767B17"/>
    <w:rsid w:val="00767F72"/>
    <w:rsid w:val="00770D70"/>
    <w:rsid w:val="00770FA3"/>
    <w:rsid w:val="00771192"/>
    <w:rsid w:val="00771255"/>
    <w:rsid w:val="007729F6"/>
    <w:rsid w:val="0077384E"/>
    <w:rsid w:val="00774771"/>
    <w:rsid w:val="00775B73"/>
    <w:rsid w:val="0077670D"/>
    <w:rsid w:val="0078007F"/>
    <w:rsid w:val="007802E0"/>
    <w:rsid w:val="00780591"/>
    <w:rsid w:val="007809F0"/>
    <w:rsid w:val="00781A7D"/>
    <w:rsid w:val="00783242"/>
    <w:rsid w:val="007856A2"/>
    <w:rsid w:val="00786350"/>
    <w:rsid w:val="00787C96"/>
    <w:rsid w:val="00795938"/>
    <w:rsid w:val="00795F86"/>
    <w:rsid w:val="007968E3"/>
    <w:rsid w:val="007A20E2"/>
    <w:rsid w:val="007A513D"/>
    <w:rsid w:val="007A67AD"/>
    <w:rsid w:val="007A6DDB"/>
    <w:rsid w:val="007B01FF"/>
    <w:rsid w:val="007B1967"/>
    <w:rsid w:val="007B2E41"/>
    <w:rsid w:val="007B341E"/>
    <w:rsid w:val="007B536A"/>
    <w:rsid w:val="007B59F9"/>
    <w:rsid w:val="007B683D"/>
    <w:rsid w:val="007B7467"/>
    <w:rsid w:val="007B7F24"/>
    <w:rsid w:val="007C1620"/>
    <w:rsid w:val="007C1846"/>
    <w:rsid w:val="007C216A"/>
    <w:rsid w:val="007C3682"/>
    <w:rsid w:val="007C56DF"/>
    <w:rsid w:val="007C599F"/>
    <w:rsid w:val="007C608B"/>
    <w:rsid w:val="007C6C39"/>
    <w:rsid w:val="007C7C88"/>
    <w:rsid w:val="007D130C"/>
    <w:rsid w:val="007D5123"/>
    <w:rsid w:val="007E3D90"/>
    <w:rsid w:val="007E42CC"/>
    <w:rsid w:val="007E4E34"/>
    <w:rsid w:val="007E55D2"/>
    <w:rsid w:val="007E7520"/>
    <w:rsid w:val="007F3C1A"/>
    <w:rsid w:val="00803917"/>
    <w:rsid w:val="00805D82"/>
    <w:rsid w:val="00806FF7"/>
    <w:rsid w:val="00814662"/>
    <w:rsid w:val="0081610C"/>
    <w:rsid w:val="00816E24"/>
    <w:rsid w:val="008170C4"/>
    <w:rsid w:val="0082490F"/>
    <w:rsid w:val="00825268"/>
    <w:rsid w:val="008253EF"/>
    <w:rsid w:val="0082589C"/>
    <w:rsid w:val="0083097A"/>
    <w:rsid w:val="008310B8"/>
    <w:rsid w:val="00833207"/>
    <w:rsid w:val="00833E8C"/>
    <w:rsid w:val="00834702"/>
    <w:rsid w:val="00834AEE"/>
    <w:rsid w:val="00840290"/>
    <w:rsid w:val="00840B63"/>
    <w:rsid w:val="00841183"/>
    <w:rsid w:val="008421EB"/>
    <w:rsid w:val="00843398"/>
    <w:rsid w:val="008460EC"/>
    <w:rsid w:val="00847DF4"/>
    <w:rsid w:val="00850050"/>
    <w:rsid w:val="00850772"/>
    <w:rsid w:val="00851AE2"/>
    <w:rsid w:val="00855CD6"/>
    <w:rsid w:val="008563B0"/>
    <w:rsid w:val="00866224"/>
    <w:rsid w:val="0086681F"/>
    <w:rsid w:val="00866B16"/>
    <w:rsid w:val="0086724E"/>
    <w:rsid w:val="008672AB"/>
    <w:rsid w:val="00870A23"/>
    <w:rsid w:val="00872766"/>
    <w:rsid w:val="00873594"/>
    <w:rsid w:val="00875BED"/>
    <w:rsid w:val="00876890"/>
    <w:rsid w:val="008803C6"/>
    <w:rsid w:val="00881B9D"/>
    <w:rsid w:val="0088224F"/>
    <w:rsid w:val="00882F8A"/>
    <w:rsid w:val="0088381F"/>
    <w:rsid w:val="00884FDF"/>
    <w:rsid w:val="00885140"/>
    <w:rsid w:val="008906AC"/>
    <w:rsid w:val="008920DD"/>
    <w:rsid w:val="0089393C"/>
    <w:rsid w:val="00894EC4"/>
    <w:rsid w:val="00897ED8"/>
    <w:rsid w:val="008A040B"/>
    <w:rsid w:val="008A0D18"/>
    <w:rsid w:val="008A1FA2"/>
    <w:rsid w:val="008A3D0C"/>
    <w:rsid w:val="008A5376"/>
    <w:rsid w:val="008A5F49"/>
    <w:rsid w:val="008A6844"/>
    <w:rsid w:val="008A7168"/>
    <w:rsid w:val="008A750E"/>
    <w:rsid w:val="008B2A0B"/>
    <w:rsid w:val="008B34A9"/>
    <w:rsid w:val="008B7A27"/>
    <w:rsid w:val="008C16E6"/>
    <w:rsid w:val="008C47CA"/>
    <w:rsid w:val="008C730F"/>
    <w:rsid w:val="008C7711"/>
    <w:rsid w:val="008D0364"/>
    <w:rsid w:val="008D1B08"/>
    <w:rsid w:val="008D2836"/>
    <w:rsid w:val="008D40E8"/>
    <w:rsid w:val="008D50B6"/>
    <w:rsid w:val="008D52B2"/>
    <w:rsid w:val="008D5F6B"/>
    <w:rsid w:val="008D69E4"/>
    <w:rsid w:val="008D6B7F"/>
    <w:rsid w:val="008E0D66"/>
    <w:rsid w:val="008E0E0C"/>
    <w:rsid w:val="008E2DF8"/>
    <w:rsid w:val="008E3B96"/>
    <w:rsid w:val="008E6437"/>
    <w:rsid w:val="008E66B1"/>
    <w:rsid w:val="008E700E"/>
    <w:rsid w:val="008E7118"/>
    <w:rsid w:val="008E7370"/>
    <w:rsid w:val="008E7EA4"/>
    <w:rsid w:val="008F123A"/>
    <w:rsid w:val="008F199E"/>
    <w:rsid w:val="008F288C"/>
    <w:rsid w:val="008F2F92"/>
    <w:rsid w:val="008F3D71"/>
    <w:rsid w:val="008F3EC7"/>
    <w:rsid w:val="008F7288"/>
    <w:rsid w:val="008F7F36"/>
    <w:rsid w:val="00902B62"/>
    <w:rsid w:val="00903065"/>
    <w:rsid w:val="0090388B"/>
    <w:rsid w:val="009046F6"/>
    <w:rsid w:val="00904A78"/>
    <w:rsid w:val="00905CED"/>
    <w:rsid w:val="00907AE1"/>
    <w:rsid w:val="00911AB3"/>
    <w:rsid w:val="00911DEE"/>
    <w:rsid w:val="00912311"/>
    <w:rsid w:val="00912BDC"/>
    <w:rsid w:val="009131CC"/>
    <w:rsid w:val="009131D8"/>
    <w:rsid w:val="009143DB"/>
    <w:rsid w:val="00914BC1"/>
    <w:rsid w:val="009207B3"/>
    <w:rsid w:val="00920A92"/>
    <w:rsid w:val="00922A77"/>
    <w:rsid w:val="00922AC8"/>
    <w:rsid w:val="009231C7"/>
    <w:rsid w:val="00926204"/>
    <w:rsid w:val="00926376"/>
    <w:rsid w:val="00926DE2"/>
    <w:rsid w:val="00930E4D"/>
    <w:rsid w:val="00931978"/>
    <w:rsid w:val="00931FDA"/>
    <w:rsid w:val="00932217"/>
    <w:rsid w:val="00932839"/>
    <w:rsid w:val="00932A21"/>
    <w:rsid w:val="00940047"/>
    <w:rsid w:val="00940384"/>
    <w:rsid w:val="009403E8"/>
    <w:rsid w:val="00940924"/>
    <w:rsid w:val="00941603"/>
    <w:rsid w:val="00941721"/>
    <w:rsid w:val="00941F43"/>
    <w:rsid w:val="0094227C"/>
    <w:rsid w:val="009436DB"/>
    <w:rsid w:val="00944111"/>
    <w:rsid w:val="0095515C"/>
    <w:rsid w:val="009555EA"/>
    <w:rsid w:val="00956ECE"/>
    <w:rsid w:val="009637A4"/>
    <w:rsid w:val="00964645"/>
    <w:rsid w:val="0096502B"/>
    <w:rsid w:val="00965632"/>
    <w:rsid w:val="00965E4C"/>
    <w:rsid w:val="00965F5D"/>
    <w:rsid w:val="0096665D"/>
    <w:rsid w:val="00970EBE"/>
    <w:rsid w:val="00971C0C"/>
    <w:rsid w:val="009735BD"/>
    <w:rsid w:val="009741F5"/>
    <w:rsid w:val="00974317"/>
    <w:rsid w:val="00976110"/>
    <w:rsid w:val="00976144"/>
    <w:rsid w:val="009764DD"/>
    <w:rsid w:val="009766B7"/>
    <w:rsid w:val="00976F86"/>
    <w:rsid w:val="0097783C"/>
    <w:rsid w:val="00977BB4"/>
    <w:rsid w:val="00980537"/>
    <w:rsid w:val="00981568"/>
    <w:rsid w:val="00984A0C"/>
    <w:rsid w:val="00997AA2"/>
    <w:rsid w:val="009A2123"/>
    <w:rsid w:val="009A2D52"/>
    <w:rsid w:val="009A32B1"/>
    <w:rsid w:val="009A4AD4"/>
    <w:rsid w:val="009A540D"/>
    <w:rsid w:val="009B0603"/>
    <w:rsid w:val="009B0A31"/>
    <w:rsid w:val="009B2ADB"/>
    <w:rsid w:val="009B33B9"/>
    <w:rsid w:val="009B5D90"/>
    <w:rsid w:val="009C1DE7"/>
    <w:rsid w:val="009C2E92"/>
    <w:rsid w:val="009C3175"/>
    <w:rsid w:val="009C3BB7"/>
    <w:rsid w:val="009C467C"/>
    <w:rsid w:val="009C5250"/>
    <w:rsid w:val="009C54D5"/>
    <w:rsid w:val="009C5FB6"/>
    <w:rsid w:val="009C6188"/>
    <w:rsid w:val="009D0BA6"/>
    <w:rsid w:val="009D133C"/>
    <w:rsid w:val="009D1423"/>
    <w:rsid w:val="009D3337"/>
    <w:rsid w:val="009D4463"/>
    <w:rsid w:val="009D4B80"/>
    <w:rsid w:val="009D69D1"/>
    <w:rsid w:val="009D73EB"/>
    <w:rsid w:val="009E2D8D"/>
    <w:rsid w:val="009E3052"/>
    <w:rsid w:val="009E433B"/>
    <w:rsid w:val="009E7ECD"/>
    <w:rsid w:val="009F083A"/>
    <w:rsid w:val="009F1ED4"/>
    <w:rsid w:val="009F29FC"/>
    <w:rsid w:val="009F3BC7"/>
    <w:rsid w:val="009F42D1"/>
    <w:rsid w:val="009F4993"/>
    <w:rsid w:val="009F49B1"/>
    <w:rsid w:val="009F6CC2"/>
    <w:rsid w:val="009F71ED"/>
    <w:rsid w:val="00A02F2E"/>
    <w:rsid w:val="00A033C0"/>
    <w:rsid w:val="00A039D6"/>
    <w:rsid w:val="00A05B40"/>
    <w:rsid w:val="00A06E15"/>
    <w:rsid w:val="00A0728D"/>
    <w:rsid w:val="00A07D0F"/>
    <w:rsid w:val="00A103E3"/>
    <w:rsid w:val="00A11B86"/>
    <w:rsid w:val="00A125FD"/>
    <w:rsid w:val="00A15236"/>
    <w:rsid w:val="00A164E1"/>
    <w:rsid w:val="00A172DA"/>
    <w:rsid w:val="00A210A9"/>
    <w:rsid w:val="00A23083"/>
    <w:rsid w:val="00A265FE"/>
    <w:rsid w:val="00A26928"/>
    <w:rsid w:val="00A26E2D"/>
    <w:rsid w:val="00A27101"/>
    <w:rsid w:val="00A27242"/>
    <w:rsid w:val="00A27447"/>
    <w:rsid w:val="00A27B85"/>
    <w:rsid w:val="00A27C6D"/>
    <w:rsid w:val="00A3121F"/>
    <w:rsid w:val="00A327A5"/>
    <w:rsid w:val="00A354DC"/>
    <w:rsid w:val="00A3671F"/>
    <w:rsid w:val="00A36E14"/>
    <w:rsid w:val="00A4339D"/>
    <w:rsid w:val="00A44599"/>
    <w:rsid w:val="00A47A8B"/>
    <w:rsid w:val="00A50C24"/>
    <w:rsid w:val="00A5104D"/>
    <w:rsid w:val="00A5224B"/>
    <w:rsid w:val="00A52EA4"/>
    <w:rsid w:val="00A531AA"/>
    <w:rsid w:val="00A554DF"/>
    <w:rsid w:val="00A5793C"/>
    <w:rsid w:val="00A60AD3"/>
    <w:rsid w:val="00A61C99"/>
    <w:rsid w:val="00A61D1D"/>
    <w:rsid w:val="00A6513A"/>
    <w:rsid w:val="00A652A2"/>
    <w:rsid w:val="00A655A9"/>
    <w:rsid w:val="00A70C79"/>
    <w:rsid w:val="00A73931"/>
    <w:rsid w:val="00A73AEF"/>
    <w:rsid w:val="00A80647"/>
    <w:rsid w:val="00A818FD"/>
    <w:rsid w:val="00A81A3E"/>
    <w:rsid w:val="00A81EF0"/>
    <w:rsid w:val="00A837E7"/>
    <w:rsid w:val="00A84E58"/>
    <w:rsid w:val="00A85FBE"/>
    <w:rsid w:val="00A862AB"/>
    <w:rsid w:val="00A8647B"/>
    <w:rsid w:val="00A87F20"/>
    <w:rsid w:val="00A910B7"/>
    <w:rsid w:val="00A9116D"/>
    <w:rsid w:val="00A952FF"/>
    <w:rsid w:val="00A95CA0"/>
    <w:rsid w:val="00A95EF7"/>
    <w:rsid w:val="00AA2AD2"/>
    <w:rsid w:val="00AA4A65"/>
    <w:rsid w:val="00AA518B"/>
    <w:rsid w:val="00AA63A4"/>
    <w:rsid w:val="00AA65BF"/>
    <w:rsid w:val="00AB2A10"/>
    <w:rsid w:val="00AB2F94"/>
    <w:rsid w:val="00AB40D9"/>
    <w:rsid w:val="00AB652E"/>
    <w:rsid w:val="00AB7A1D"/>
    <w:rsid w:val="00AC52B3"/>
    <w:rsid w:val="00AC73D9"/>
    <w:rsid w:val="00AC73F4"/>
    <w:rsid w:val="00AD0176"/>
    <w:rsid w:val="00AD06C4"/>
    <w:rsid w:val="00AD0A9E"/>
    <w:rsid w:val="00AD3FCB"/>
    <w:rsid w:val="00AD4735"/>
    <w:rsid w:val="00AD5107"/>
    <w:rsid w:val="00AD7E18"/>
    <w:rsid w:val="00AE0DFA"/>
    <w:rsid w:val="00AE151E"/>
    <w:rsid w:val="00AE1983"/>
    <w:rsid w:val="00AE1AA5"/>
    <w:rsid w:val="00AE1F5D"/>
    <w:rsid w:val="00AE2AA4"/>
    <w:rsid w:val="00AE3D0B"/>
    <w:rsid w:val="00AE425E"/>
    <w:rsid w:val="00AE4941"/>
    <w:rsid w:val="00AF15B5"/>
    <w:rsid w:val="00AF1D06"/>
    <w:rsid w:val="00AF3515"/>
    <w:rsid w:val="00AF47A6"/>
    <w:rsid w:val="00AF4FDD"/>
    <w:rsid w:val="00AF60D8"/>
    <w:rsid w:val="00AF6D7B"/>
    <w:rsid w:val="00AF711D"/>
    <w:rsid w:val="00B004CE"/>
    <w:rsid w:val="00B01E87"/>
    <w:rsid w:val="00B037FB"/>
    <w:rsid w:val="00B04DC7"/>
    <w:rsid w:val="00B07210"/>
    <w:rsid w:val="00B11AAE"/>
    <w:rsid w:val="00B14786"/>
    <w:rsid w:val="00B14C62"/>
    <w:rsid w:val="00B1592C"/>
    <w:rsid w:val="00B17A46"/>
    <w:rsid w:val="00B2025E"/>
    <w:rsid w:val="00B2117A"/>
    <w:rsid w:val="00B21D88"/>
    <w:rsid w:val="00B21F4C"/>
    <w:rsid w:val="00B22115"/>
    <w:rsid w:val="00B2267E"/>
    <w:rsid w:val="00B2462D"/>
    <w:rsid w:val="00B275AA"/>
    <w:rsid w:val="00B279EE"/>
    <w:rsid w:val="00B30021"/>
    <w:rsid w:val="00B3204E"/>
    <w:rsid w:val="00B3404C"/>
    <w:rsid w:val="00B34753"/>
    <w:rsid w:val="00B348B9"/>
    <w:rsid w:val="00B37937"/>
    <w:rsid w:val="00B42341"/>
    <w:rsid w:val="00B42B4C"/>
    <w:rsid w:val="00B42FB1"/>
    <w:rsid w:val="00B4343E"/>
    <w:rsid w:val="00B4472A"/>
    <w:rsid w:val="00B459EA"/>
    <w:rsid w:val="00B45C93"/>
    <w:rsid w:val="00B507F2"/>
    <w:rsid w:val="00B50D09"/>
    <w:rsid w:val="00B51A08"/>
    <w:rsid w:val="00B51AEC"/>
    <w:rsid w:val="00B53008"/>
    <w:rsid w:val="00B536C0"/>
    <w:rsid w:val="00B54A46"/>
    <w:rsid w:val="00B56029"/>
    <w:rsid w:val="00B5604C"/>
    <w:rsid w:val="00B605E9"/>
    <w:rsid w:val="00B61821"/>
    <w:rsid w:val="00B61851"/>
    <w:rsid w:val="00B61CF1"/>
    <w:rsid w:val="00B63122"/>
    <w:rsid w:val="00B64EF2"/>
    <w:rsid w:val="00B659BB"/>
    <w:rsid w:val="00B66AF3"/>
    <w:rsid w:val="00B66FDC"/>
    <w:rsid w:val="00B67B43"/>
    <w:rsid w:val="00B70512"/>
    <w:rsid w:val="00B706D5"/>
    <w:rsid w:val="00B70E75"/>
    <w:rsid w:val="00B80571"/>
    <w:rsid w:val="00B806B8"/>
    <w:rsid w:val="00B81CF8"/>
    <w:rsid w:val="00B85BBD"/>
    <w:rsid w:val="00B86492"/>
    <w:rsid w:val="00B8692E"/>
    <w:rsid w:val="00B87175"/>
    <w:rsid w:val="00B87A2C"/>
    <w:rsid w:val="00B908B3"/>
    <w:rsid w:val="00B91C63"/>
    <w:rsid w:val="00BA1772"/>
    <w:rsid w:val="00BA270B"/>
    <w:rsid w:val="00BA417A"/>
    <w:rsid w:val="00BA45B2"/>
    <w:rsid w:val="00BA5845"/>
    <w:rsid w:val="00BB2284"/>
    <w:rsid w:val="00BC02EC"/>
    <w:rsid w:val="00BC0437"/>
    <w:rsid w:val="00BC1714"/>
    <w:rsid w:val="00BC3CF7"/>
    <w:rsid w:val="00BC3E32"/>
    <w:rsid w:val="00BC566B"/>
    <w:rsid w:val="00BC5843"/>
    <w:rsid w:val="00BC6180"/>
    <w:rsid w:val="00BC6432"/>
    <w:rsid w:val="00BD1AB8"/>
    <w:rsid w:val="00BD395D"/>
    <w:rsid w:val="00BD4C78"/>
    <w:rsid w:val="00BD6C3C"/>
    <w:rsid w:val="00BE05C8"/>
    <w:rsid w:val="00BE0798"/>
    <w:rsid w:val="00BE1321"/>
    <w:rsid w:val="00BE2117"/>
    <w:rsid w:val="00BE2769"/>
    <w:rsid w:val="00BE2ED8"/>
    <w:rsid w:val="00BE4245"/>
    <w:rsid w:val="00BE4D0F"/>
    <w:rsid w:val="00BE6E20"/>
    <w:rsid w:val="00BF2D31"/>
    <w:rsid w:val="00BF3EE9"/>
    <w:rsid w:val="00C003A4"/>
    <w:rsid w:val="00C00EDF"/>
    <w:rsid w:val="00C028C2"/>
    <w:rsid w:val="00C037C3"/>
    <w:rsid w:val="00C037FD"/>
    <w:rsid w:val="00C04646"/>
    <w:rsid w:val="00C04DAC"/>
    <w:rsid w:val="00C056BD"/>
    <w:rsid w:val="00C05AA4"/>
    <w:rsid w:val="00C05B3C"/>
    <w:rsid w:val="00C0687A"/>
    <w:rsid w:val="00C075C4"/>
    <w:rsid w:val="00C10C4E"/>
    <w:rsid w:val="00C12242"/>
    <w:rsid w:val="00C128D9"/>
    <w:rsid w:val="00C12C56"/>
    <w:rsid w:val="00C13199"/>
    <w:rsid w:val="00C13DB8"/>
    <w:rsid w:val="00C149CC"/>
    <w:rsid w:val="00C1795E"/>
    <w:rsid w:val="00C2193D"/>
    <w:rsid w:val="00C2470E"/>
    <w:rsid w:val="00C32B81"/>
    <w:rsid w:val="00C33175"/>
    <w:rsid w:val="00C33289"/>
    <w:rsid w:val="00C33782"/>
    <w:rsid w:val="00C35D6D"/>
    <w:rsid w:val="00C36662"/>
    <w:rsid w:val="00C41C69"/>
    <w:rsid w:val="00C47041"/>
    <w:rsid w:val="00C508F2"/>
    <w:rsid w:val="00C50E31"/>
    <w:rsid w:val="00C5198B"/>
    <w:rsid w:val="00C52944"/>
    <w:rsid w:val="00C52D6F"/>
    <w:rsid w:val="00C5671F"/>
    <w:rsid w:val="00C56727"/>
    <w:rsid w:val="00C5686C"/>
    <w:rsid w:val="00C56A5A"/>
    <w:rsid w:val="00C56B37"/>
    <w:rsid w:val="00C576E0"/>
    <w:rsid w:val="00C57FD3"/>
    <w:rsid w:val="00C60652"/>
    <w:rsid w:val="00C62374"/>
    <w:rsid w:val="00C636AA"/>
    <w:rsid w:val="00C63E18"/>
    <w:rsid w:val="00C65224"/>
    <w:rsid w:val="00C65919"/>
    <w:rsid w:val="00C70657"/>
    <w:rsid w:val="00C71D0C"/>
    <w:rsid w:val="00C722D8"/>
    <w:rsid w:val="00C72D42"/>
    <w:rsid w:val="00C743C3"/>
    <w:rsid w:val="00C7474E"/>
    <w:rsid w:val="00C776CC"/>
    <w:rsid w:val="00C7798B"/>
    <w:rsid w:val="00C77F8F"/>
    <w:rsid w:val="00C80E9B"/>
    <w:rsid w:val="00C86ECF"/>
    <w:rsid w:val="00C91E08"/>
    <w:rsid w:val="00C93474"/>
    <w:rsid w:val="00C978A4"/>
    <w:rsid w:val="00CA232E"/>
    <w:rsid w:val="00CA3CA8"/>
    <w:rsid w:val="00CA4687"/>
    <w:rsid w:val="00CA5593"/>
    <w:rsid w:val="00CA5DE5"/>
    <w:rsid w:val="00CA72A4"/>
    <w:rsid w:val="00CA7378"/>
    <w:rsid w:val="00CB3158"/>
    <w:rsid w:val="00CB4FC3"/>
    <w:rsid w:val="00CB51F8"/>
    <w:rsid w:val="00CB5915"/>
    <w:rsid w:val="00CB6E25"/>
    <w:rsid w:val="00CB7AB7"/>
    <w:rsid w:val="00CC122E"/>
    <w:rsid w:val="00CC1A41"/>
    <w:rsid w:val="00CC3EF6"/>
    <w:rsid w:val="00CC726D"/>
    <w:rsid w:val="00CC78E1"/>
    <w:rsid w:val="00CC7F73"/>
    <w:rsid w:val="00CD0865"/>
    <w:rsid w:val="00CD0CE7"/>
    <w:rsid w:val="00CD1F8A"/>
    <w:rsid w:val="00CD2857"/>
    <w:rsid w:val="00CD4DA0"/>
    <w:rsid w:val="00CE0FB5"/>
    <w:rsid w:val="00CE165F"/>
    <w:rsid w:val="00CE1C34"/>
    <w:rsid w:val="00CE3526"/>
    <w:rsid w:val="00CE5351"/>
    <w:rsid w:val="00CE6147"/>
    <w:rsid w:val="00CE7E25"/>
    <w:rsid w:val="00CF094A"/>
    <w:rsid w:val="00CF2CCC"/>
    <w:rsid w:val="00CF6CFB"/>
    <w:rsid w:val="00CF70AD"/>
    <w:rsid w:val="00D004C3"/>
    <w:rsid w:val="00D03ED3"/>
    <w:rsid w:val="00D05F18"/>
    <w:rsid w:val="00D104A9"/>
    <w:rsid w:val="00D12BF1"/>
    <w:rsid w:val="00D12D44"/>
    <w:rsid w:val="00D136D3"/>
    <w:rsid w:val="00D17362"/>
    <w:rsid w:val="00D17C59"/>
    <w:rsid w:val="00D20D64"/>
    <w:rsid w:val="00D24947"/>
    <w:rsid w:val="00D268AD"/>
    <w:rsid w:val="00D27073"/>
    <w:rsid w:val="00D305B9"/>
    <w:rsid w:val="00D31028"/>
    <w:rsid w:val="00D3172A"/>
    <w:rsid w:val="00D31A05"/>
    <w:rsid w:val="00D31C76"/>
    <w:rsid w:val="00D32E46"/>
    <w:rsid w:val="00D3312C"/>
    <w:rsid w:val="00D33E97"/>
    <w:rsid w:val="00D3502F"/>
    <w:rsid w:val="00D37442"/>
    <w:rsid w:val="00D43116"/>
    <w:rsid w:val="00D43F30"/>
    <w:rsid w:val="00D44BD6"/>
    <w:rsid w:val="00D46E44"/>
    <w:rsid w:val="00D50F9D"/>
    <w:rsid w:val="00D53419"/>
    <w:rsid w:val="00D54551"/>
    <w:rsid w:val="00D566D7"/>
    <w:rsid w:val="00D57DC2"/>
    <w:rsid w:val="00D62655"/>
    <w:rsid w:val="00D66F5E"/>
    <w:rsid w:val="00D712D9"/>
    <w:rsid w:val="00D7308F"/>
    <w:rsid w:val="00D73097"/>
    <w:rsid w:val="00D753DD"/>
    <w:rsid w:val="00D75E24"/>
    <w:rsid w:val="00D77069"/>
    <w:rsid w:val="00D8320D"/>
    <w:rsid w:val="00D856A8"/>
    <w:rsid w:val="00D86FA8"/>
    <w:rsid w:val="00D91528"/>
    <w:rsid w:val="00D942C5"/>
    <w:rsid w:val="00D95411"/>
    <w:rsid w:val="00D962A2"/>
    <w:rsid w:val="00D96F4A"/>
    <w:rsid w:val="00D97519"/>
    <w:rsid w:val="00DA1893"/>
    <w:rsid w:val="00DA2597"/>
    <w:rsid w:val="00DA300E"/>
    <w:rsid w:val="00DA3E34"/>
    <w:rsid w:val="00DA4767"/>
    <w:rsid w:val="00DA5B24"/>
    <w:rsid w:val="00DA5FC6"/>
    <w:rsid w:val="00DA6114"/>
    <w:rsid w:val="00DA73F6"/>
    <w:rsid w:val="00DB23E0"/>
    <w:rsid w:val="00DB299B"/>
    <w:rsid w:val="00DB336F"/>
    <w:rsid w:val="00DB355A"/>
    <w:rsid w:val="00DB6AF1"/>
    <w:rsid w:val="00DC0DC2"/>
    <w:rsid w:val="00DC1BB6"/>
    <w:rsid w:val="00DC57C9"/>
    <w:rsid w:val="00DC58E2"/>
    <w:rsid w:val="00DC63B8"/>
    <w:rsid w:val="00DC69EC"/>
    <w:rsid w:val="00DD0D4D"/>
    <w:rsid w:val="00DD180C"/>
    <w:rsid w:val="00DD33CA"/>
    <w:rsid w:val="00DD3771"/>
    <w:rsid w:val="00DD42AC"/>
    <w:rsid w:val="00DD4FF4"/>
    <w:rsid w:val="00DD791B"/>
    <w:rsid w:val="00DE0387"/>
    <w:rsid w:val="00DE223F"/>
    <w:rsid w:val="00DE5137"/>
    <w:rsid w:val="00DF1982"/>
    <w:rsid w:val="00DF2E31"/>
    <w:rsid w:val="00DF32F6"/>
    <w:rsid w:val="00DF35AF"/>
    <w:rsid w:val="00E00447"/>
    <w:rsid w:val="00E041F3"/>
    <w:rsid w:val="00E04A87"/>
    <w:rsid w:val="00E05D2D"/>
    <w:rsid w:val="00E077E0"/>
    <w:rsid w:val="00E10138"/>
    <w:rsid w:val="00E10AC2"/>
    <w:rsid w:val="00E11A18"/>
    <w:rsid w:val="00E1216E"/>
    <w:rsid w:val="00E13028"/>
    <w:rsid w:val="00E133A2"/>
    <w:rsid w:val="00E1379D"/>
    <w:rsid w:val="00E15D39"/>
    <w:rsid w:val="00E17AEE"/>
    <w:rsid w:val="00E212F0"/>
    <w:rsid w:val="00E21E1A"/>
    <w:rsid w:val="00E2399B"/>
    <w:rsid w:val="00E248B5"/>
    <w:rsid w:val="00E26216"/>
    <w:rsid w:val="00E26BB8"/>
    <w:rsid w:val="00E27AAB"/>
    <w:rsid w:val="00E32906"/>
    <w:rsid w:val="00E3384F"/>
    <w:rsid w:val="00E358AA"/>
    <w:rsid w:val="00E430D5"/>
    <w:rsid w:val="00E43DF3"/>
    <w:rsid w:val="00E446E6"/>
    <w:rsid w:val="00E45487"/>
    <w:rsid w:val="00E513DA"/>
    <w:rsid w:val="00E53530"/>
    <w:rsid w:val="00E54293"/>
    <w:rsid w:val="00E547D7"/>
    <w:rsid w:val="00E55767"/>
    <w:rsid w:val="00E56174"/>
    <w:rsid w:val="00E563BB"/>
    <w:rsid w:val="00E57C76"/>
    <w:rsid w:val="00E61AC9"/>
    <w:rsid w:val="00E62F89"/>
    <w:rsid w:val="00E630B6"/>
    <w:rsid w:val="00E64B49"/>
    <w:rsid w:val="00E67DBD"/>
    <w:rsid w:val="00E7081D"/>
    <w:rsid w:val="00E70D57"/>
    <w:rsid w:val="00E717EB"/>
    <w:rsid w:val="00E729E1"/>
    <w:rsid w:val="00E74522"/>
    <w:rsid w:val="00E75910"/>
    <w:rsid w:val="00E77D6C"/>
    <w:rsid w:val="00E8044F"/>
    <w:rsid w:val="00E853BB"/>
    <w:rsid w:val="00E85680"/>
    <w:rsid w:val="00E873BC"/>
    <w:rsid w:val="00E8768A"/>
    <w:rsid w:val="00E903CC"/>
    <w:rsid w:val="00E90D54"/>
    <w:rsid w:val="00E936B7"/>
    <w:rsid w:val="00E93788"/>
    <w:rsid w:val="00E94307"/>
    <w:rsid w:val="00E94952"/>
    <w:rsid w:val="00E95CB4"/>
    <w:rsid w:val="00E97A24"/>
    <w:rsid w:val="00EA0305"/>
    <w:rsid w:val="00EA0620"/>
    <w:rsid w:val="00EA21CA"/>
    <w:rsid w:val="00EA2575"/>
    <w:rsid w:val="00EA28EC"/>
    <w:rsid w:val="00EA4389"/>
    <w:rsid w:val="00EA4B67"/>
    <w:rsid w:val="00EA4CC1"/>
    <w:rsid w:val="00EA60A3"/>
    <w:rsid w:val="00EA6CFE"/>
    <w:rsid w:val="00EA77E9"/>
    <w:rsid w:val="00EB06BC"/>
    <w:rsid w:val="00EB37E0"/>
    <w:rsid w:val="00EB61F8"/>
    <w:rsid w:val="00EB72E9"/>
    <w:rsid w:val="00EC1364"/>
    <w:rsid w:val="00EC1CBA"/>
    <w:rsid w:val="00EC2058"/>
    <w:rsid w:val="00EC28BE"/>
    <w:rsid w:val="00EC2EF3"/>
    <w:rsid w:val="00EC32B8"/>
    <w:rsid w:val="00EC356A"/>
    <w:rsid w:val="00EC61F8"/>
    <w:rsid w:val="00ED15D9"/>
    <w:rsid w:val="00ED2879"/>
    <w:rsid w:val="00ED471B"/>
    <w:rsid w:val="00ED5204"/>
    <w:rsid w:val="00ED677B"/>
    <w:rsid w:val="00ED7856"/>
    <w:rsid w:val="00EE003B"/>
    <w:rsid w:val="00EE1B0C"/>
    <w:rsid w:val="00EE5A17"/>
    <w:rsid w:val="00EE725E"/>
    <w:rsid w:val="00EF68C6"/>
    <w:rsid w:val="00EF7CF8"/>
    <w:rsid w:val="00F00910"/>
    <w:rsid w:val="00F00D04"/>
    <w:rsid w:val="00F03323"/>
    <w:rsid w:val="00F03763"/>
    <w:rsid w:val="00F0439A"/>
    <w:rsid w:val="00F0465E"/>
    <w:rsid w:val="00F0502D"/>
    <w:rsid w:val="00F05D35"/>
    <w:rsid w:val="00F05E91"/>
    <w:rsid w:val="00F067A7"/>
    <w:rsid w:val="00F06AA0"/>
    <w:rsid w:val="00F11E5F"/>
    <w:rsid w:val="00F17D1F"/>
    <w:rsid w:val="00F17D7D"/>
    <w:rsid w:val="00F2241F"/>
    <w:rsid w:val="00F22CBF"/>
    <w:rsid w:val="00F245C7"/>
    <w:rsid w:val="00F25DE7"/>
    <w:rsid w:val="00F305ED"/>
    <w:rsid w:val="00F31D4C"/>
    <w:rsid w:val="00F31D65"/>
    <w:rsid w:val="00F32442"/>
    <w:rsid w:val="00F32C18"/>
    <w:rsid w:val="00F334B1"/>
    <w:rsid w:val="00F36EB4"/>
    <w:rsid w:val="00F371B8"/>
    <w:rsid w:val="00F435EF"/>
    <w:rsid w:val="00F44168"/>
    <w:rsid w:val="00F44C84"/>
    <w:rsid w:val="00F4781F"/>
    <w:rsid w:val="00F47DEA"/>
    <w:rsid w:val="00F510A4"/>
    <w:rsid w:val="00F5187C"/>
    <w:rsid w:val="00F53373"/>
    <w:rsid w:val="00F542E4"/>
    <w:rsid w:val="00F5433F"/>
    <w:rsid w:val="00F545C9"/>
    <w:rsid w:val="00F545DB"/>
    <w:rsid w:val="00F5538B"/>
    <w:rsid w:val="00F566F0"/>
    <w:rsid w:val="00F60AC3"/>
    <w:rsid w:val="00F620B5"/>
    <w:rsid w:val="00F62770"/>
    <w:rsid w:val="00F63FF6"/>
    <w:rsid w:val="00F66DFD"/>
    <w:rsid w:val="00F70911"/>
    <w:rsid w:val="00F7173E"/>
    <w:rsid w:val="00F8286E"/>
    <w:rsid w:val="00F82E3E"/>
    <w:rsid w:val="00F839CD"/>
    <w:rsid w:val="00F856B5"/>
    <w:rsid w:val="00F869A9"/>
    <w:rsid w:val="00F913F2"/>
    <w:rsid w:val="00F91841"/>
    <w:rsid w:val="00F9311C"/>
    <w:rsid w:val="00F93D17"/>
    <w:rsid w:val="00F9497A"/>
    <w:rsid w:val="00F950B1"/>
    <w:rsid w:val="00F955CA"/>
    <w:rsid w:val="00F96798"/>
    <w:rsid w:val="00FA191D"/>
    <w:rsid w:val="00FA4904"/>
    <w:rsid w:val="00FA60BF"/>
    <w:rsid w:val="00FA6923"/>
    <w:rsid w:val="00FB17CC"/>
    <w:rsid w:val="00FB186E"/>
    <w:rsid w:val="00FB55CD"/>
    <w:rsid w:val="00FC129E"/>
    <w:rsid w:val="00FC1900"/>
    <w:rsid w:val="00FC3346"/>
    <w:rsid w:val="00FC3B4B"/>
    <w:rsid w:val="00FC4967"/>
    <w:rsid w:val="00FC59D3"/>
    <w:rsid w:val="00FC66F6"/>
    <w:rsid w:val="00FC73DA"/>
    <w:rsid w:val="00FD47C2"/>
    <w:rsid w:val="00FD4C9F"/>
    <w:rsid w:val="00FD6479"/>
    <w:rsid w:val="00FD6E57"/>
    <w:rsid w:val="00FE0543"/>
    <w:rsid w:val="00FE31B2"/>
    <w:rsid w:val="00FE37BA"/>
    <w:rsid w:val="00FE4A5A"/>
    <w:rsid w:val="00FE520C"/>
    <w:rsid w:val="00FE5D52"/>
    <w:rsid w:val="00FF3ADC"/>
    <w:rsid w:val="00FF4282"/>
    <w:rsid w:val="00FF5482"/>
    <w:rsid w:val="00FF5863"/>
    <w:rsid w:val="00FF58F1"/>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39867"/>
  <w15:docId w15:val="{12DCF167-FFD7-49F2-A6AC-3375D4A3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0D"/>
    <w:rPr>
      <w:rFonts w:ascii="Arial" w:hAnsi="Arial"/>
      <w:szCs w:val="22"/>
      <w:lang w:eastAsia="zh-CN"/>
    </w:rPr>
  </w:style>
  <w:style w:type="paragraph" w:styleId="Titre1">
    <w:name w:val="heading 1"/>
    <w:basedOn w:val="Normal"/>
    <w:next w:val="Normal"/>
    <w:link w:val="Titre1Car"/>
    <w:uiPriority w:val="99"/>
    <w:qFormat/>
    <w:rsid w:val="006032A6"/>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9"/>
    <w:qFormat/>
    <w:rsid w:val="00690389"/>
    <w:pPr>
      <w:numPr>
        <w:ilvl w:val="1"/>
        <w:numId w:val="19"/>
      </w:numPr>
      <w:tabs>
        <w:tab w:val="left" w:pos="0"/>
      </w:tabs>
      <w:spacing w:before="240"/>
      <w:ind w:left="426"/>
      <w:outlineLvl w:val="1"/>
    </w:pPr>
    <w:rPr>
      <w:caps/>
      <w:szCs w:val="28"/>
    </w:rPr>
  </w:style>
  <w:style w:type="paragraph" w:styleId="Titre3">
    <w:name w:val="heading 3"/>
    <w:basedOn w:val="Normal"/>
    <w:next w:val="Normal"/>
    <w:link w:val="Titre3Car"/>
    <w:autoRedefine/>
    <w:uiPriority w:val="99"/>
    <w:qFormat/>
    <w:rsid w:val="005D1325"/>
    <w:pPr>
      <w:keepNext/>
      <w:numPr>
        <w:ilvl w:val="2"/>
        <w:numId w:val="21"/>
      </w:numPr>
      <w:tabs>
        <w:tab w:val="left" w:pos="2160"/>
      </w:tabs>
      <w:outlineLvl w:val="2"/>
    </w:pPr>
    <w:rPr>
      <w:rFonts w:eastAsia="Times New Roman"/>
      <w:b/>
      <w:i/>
      <w:iCs/>
      <w:szCs w:val="26"/>
      <w:lang w:val="fr-FR" w:eastAsia="nl-NL"/>
    </w:rPr>
  </w:style>
  <w:style w:type="paragraph" w:styleId="Titre4">
    <w:name w:val="heading 4"/>
    <w:basedOn w:val="Normal"/>
    <w:next w:val="Normal"/>
    <w:link w:val="Titre4Car"/>
    <w:autoRedefine/>
    <w:uiPriority w:val="99"/>
    <w:qFormat/>
    <w:rsid w:val="00A5104D"/>
    <w:pPr>
      <w:keepNext/>
      <w:numPr>
        <w:ilvl w:val="3"/>
        <w:numId w:val="21"/>
      </w:numPr>
      <w:tabs>
        <w:tab w:val="left" w:pos="1440"/>
      </w:tabs>
      <w:jc w:val="both"/>
      <w:outlineLvl w:val="3"/>
    </w:pPr>
    <w:rPr>
      <w:rFonts w:eastAsia="Times New Roman"/>
      <w:i/>
      <w:iCs/>
      <w:noProof/>
      <w:szCs w:val="28"/>
      <w:lang w:val="fr-FR" w:eastAsia="nl-NL"/>
    </w:rPr>
  </w:style>
  <w:style w:type="paragraph" w:styleId="Titre5">
    <w:name w:val="heading 5"/>
    <w:basedOn w:val="Normal"/>
    <w:next w:val="Normal"/>
    <w:link w:val="Titre5Car"/>
    <w:uiPriority w:val="99"/>
    <w:qFormat/>
    <w:rsid w:val="006A3AB9"/>
    <w:pPr>
      <w:numPr>
        <w:ilvl w:val="4"/>
        <w:numId w:val="21"/>
      </w:numPr>
      <w:spacing w:before="240" w:after="60"/>
      <w:jc w:val="both"/>
      <w:outlineLvl w:val="4"/>
    </w:pPr>
    <w:rPr>
      <w:rFonts w:ascii="Courier New" w:eastAsia="Times New Roman" w:hAnsi="Courier New"/>
      <w:szCs w:val="26"/>
      <w:u w:val="single"/>
      <w:lang w:val="fr-BE" w:eastAsia="nl-NL"/>
    </w:rPr>
  </w:style>
  <w:style w:type="paragraph" w:styleId="Titre6">
    <w:name w:val="heading 6"/>
    <w:basedOn w:val="Normal"/>
    <w:next w:val="Normal"/>
    <w:link w:val="Titre6Car"/>
    <w:uiPriority w:val="99"/>
    <w:qFormat/>
    <w:rsid w:val="006A3AB9"/>
    <w:pPr>
      <w:keepNext/>
      <w:keepLines/>
      <w:numPr>
        <w:ilvl w:val="5"/>
        <w:numId w:val="21"/>
      </w:numPr>
      <w:spacing w:before="200"/>
      <w:jc w:val="both"/>
      <w:outlineLvl w:val="5"/>
    </w:pPr>
    <w:rPr>
      <w:rFonts w:ascii="Cambria" w:hAnsi="Cambria"/>
      <w:bCs/>
      <w:i/>
      <w:color w:val="243F60"/>
      <w:szCs w:val="24"/>
      <w:lang w:val="fr-FR" w:eastAsia="nl-NL"/>
    </w:rPr>
  </w:style>
  <w:style w:type="paragraph" w:styleId="Titre7">
    <w:name w:val="heading 7"/>
    <w:basedOn w:val="Normal"/>
    <w:next w:val="Normal"/>
    <w:link w:val="Titre7Car"/>
    <w:uiPriority w:val="99"/>
    <w:qFormat/>
    <w:rsid w:val="006A3AB9"/>
    <w:pPr>
      <w:keepNext/>
      <w:keepLines/>
      <w:numPr>
        <w:ilvl w:val="6"/>
        <w:numId w:val="21"/>
      </w:numPr>
      <w:spacing w:before="200"/>
      <w:jc w:val="both"/>
      <w:outlineLvl w:val="6"/>
    </w:pPr>
    <w:rPr>
      <w:rFonts w:ascii="Cambria" w:hAnsi="Cambria"/>
      <w:bCs/>
      <w:i/>
      <w:color w:val="404040"/>
      <w:szCs w:val="24"/>
      <w:lang w:val="fr-FR" w:eastAsia="nl-NL"/>
    </w:rPr>
  </w:style>
  <w:style w:type="paragraph" w:styleId="Titre8">
    <w:name w:val="heading 8"/>
    <w:basedOn w:val="Normal"/>
    <w:next w:val="Normal"/>
    <w:link w:val="Titre8Car"/>
    <w:uiPriority w:val="99"/>
    <w:qFormat/>
    <w:rsid w:val="006A3AB9"/>
    <w:pPr>
      <w:keepNext/>
      <w:keepLines/>
      <w:numPr>
        <w:ilvl w:val="7"/>
        <w:numId w:val="21"/>
      </w:numPr>
      <w:spacing w:before="200"/>
      <w:jc w:val="both"/>
      <w:outlineLvl w:val="7"/>
    </w:pPr>
    <w:rPr>
      <w:rFonts w:ascii="Cambria" w:hAnsi="Cambria"/>
      <w:bCs/>
      <w:iCs/>
      <w:color w:val="404040"/>
      <w:szCs w:val="20"/>
      <w:lang w:val="fr-FR" w:eastAsia="nl-NL"/>
    </w:rPr>
  </w:style>
  <w:style w:type="paragraph" w:styleId="Titre9">
    <w:name w:val="heading 9"/>
    <w:basedOn w:val="Normal"/>
    <w:next w:val="Normal"/>
    <w:link w:val="Titre9Car"/>
    <w:uiPriority w:val="99"/>
    <w:qFormat/>
    <w:rsid w:val="006A3AB9"/>
    <w:pPr>
      <w:keepNext/>
      <w:keepLines/>
      <w:numPr>
        <w:ilvl w:val="8"/>
        <w:numId w:val="21"/>
      </w:numPr>
      <w:spacing w:before="200"/>
      <w:jc w:val="both"/>
      <w:outlineLvl w:val="8"/>
    </w:pPr>
    <w:rPr>
      <w:rFonts w:ascii="Cambria" w:hAnsi="Cambria"/>
      <w:bCs/>
      <w:i/>
      <w:color w:val="404040"/>
      <w:szCs w:val="20"/>
      <w:lang w:val="fr-FR"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9"/>
    <w:rsid w:val="00CE165F"/>
    <w:rPr>
      <w:rFonts w:ascii="Arial" w:eastAsia="Times New Roman" w:hAnsi="Arial"/>
      <w:b/>
      <w:bCs/>
      <w:iCs/>
      <w:caps/>
      <w:kern w:val="32"/>
      <w:sz w:val="24"/>
      <w:szCs w:val="32"/>
      <w:lang w:val="fr-FR" w:eastAsia="nl-NL"/>
    </w:rPr>
  </w:style>
  <w:style w:type="character" w:customStyle="1" w:styleId="Titre2Car">
    <w:name w:val="Titre 2 Car"/>
    <w:link w:val="Titre2"/>
    <w:uiPriority w:val="99"/>
    <w:rsid w:val="00690389"/>
    <w:rPr>
      <w:rFonts w:ascii="Arial" w:hAnsi="Arial"/>
      <w:caps/>
      <w:szCs w:val="28"/>
      <w:lang w:eastAsia="zh-CN"/>
    </w:rPr>
  </w:style>
  <w:style w:type="character" w:customStyle="1" w:styleId="Titre3Car">
    <w:name w:val="Titre 3 Car"/>
    <w:link w:val="Titre3"/>
    <w:uiPriority w:val="99"/>
    <w:rsid w:val="005D1325"/>
    <w:rPr>
      <w:rFonts w:ascii="Arial" w:eastAsia="Times New Roman" w:hAnsi="Arial"/>
      <w:b/>
      <w:i/>
      <w:iCs/>
      <w:szCs w:val="26"/>
      <w:lang w:val="fr-FR" w:eastAsia="nl-NL"/>
    </w:rPr>
  </w:style>
  <w:style w:type="character" w:customStyle="1" w:styleId="Titre4Car">
    <w:name w:val="Titre 4 Car"/>
    <w:link w:val="Titre4"/>
    <w:uiPriority w:val="99"/>
    <w:rsid w:val="00A5104D"/>
    <w:rPr>
      <w:rFonts w:ascii="Arial" w:eastAsia="Times New Roman" w:hAnsi="Arial"/>
      <w:i/>
      <w:iCs/>
      <w:noProof/>
      <w:szCs w:val="28"/>
      <w:lang w:val="fr-FR" w:eastAsia="nl-NL"/>
    </w:rPr>
  </w:style>
  <w:style w:type="character" w:customStyle="1" w:styleId="Titre5Car">
    <w:name w:val="Titre 5 Car"/>
    <w:link w:val="Titre5"/>
    <w:uiPriority w:val="99"/>
    <w:rsid w:val="006A3AB9"/>
    <w:rPr>
      <w:rFonts w:ascii="Courier New" w:eastAsia="Times New Roman" w:hAnsi="Courier New"/>
      <w:szCs w:val="26"/>
      <w:u w:val="single"/>
      <w:lang w:val="fr-BE" w:eastAsia="nl-NL"/>
    </w:rPr>
  </w:style>
  <w:style w:type="character" w:customStyle="1" w:styleId="Titre6Car">
    <w:name w:val="Titre 6 Car"/>
    <w:link w:val="Titre6"/>
    <w:uiPriority w:val="99"/>
    <w:rsid w:val="006A3AB9"/>
    <w:rPr>
      <w:rFonts w:ascii="Cambria" w:hAnsi="Cambria"/>
      <w:bCs/>
      <w:i/>
      <w:color w:val="243F60"/>
      <w:szCs w:val="24"/>
      <w:lang w:val="fr-FR" w:eastAsia="nl-NL"/>
    </w:rPr>
  </w:style>
  <w:style w:type="character" w:customStyle="1" w:styleId="Titre7Car">
    <w:name w:val="Titre 7 Car"/>
    <w:link w:val="Titre7"/>
    <w:uiPriority w:val="99"/>
    <w:rsid w:val="006A3AB9"/>
    <w:rPr>
      <w:rFonts w:ascii="Cambria" w:hAnsi="Cambria"/>
      <w:bCs/>
      <w:i/>
      <w:color w:val="404040"/>
      <w:szCs w:val="24"/>
      <w:lang w:val="fr-FR" w:eastAsia="nl-NL"/>
    </w:rPr>
  </w:style>
  <w:style w:type="character" w:customStyle="1" w:styleId="Titre8Car">
    <w:name w:val="Titre 8 Car"/>
    <w:link w:val="Titre8"/>
    <w:uiPriority w:val="99"/>
    <w:rsid w:val="006A3AB9"/>
    <w:rPr>
      <w:rFonts w:ascii="Cambria" w:hAnsi="Cambria"/>
      <w:bCs/>
      <w:iCs/>
      <w:color w:val="404040"/>
      <w:lang w:val="fr-FR" w:eastAsia="nl-NL"/>
    </w:rPr>
  </w:style>
  <w:style w:type="character" w:customStyle="1" w:styleId="Titre9Car">
    <w:name w:val="Titre 9 Car"/>
    <w:link w:val="Titre9"/>
    <w:uiPriority w:val="99"/>
    <w:rsid w:val="006A3AB9"/>
    <w:rPr>
      <w:rFonts w:ascii="Cambria" w:hAnsi="Cambria"/>
      <w:bCs/>
      <w:i/>
      <w:color w:val="404040"/>
      <w:lang w:val="fr-FR" w:eastAsia="nl-NL"/>
    </w:rPr>
  </w:style>
  <w:style w:type="table" w:styleId="Grilledutableau">
    <w:name w:val="Table Grid"/>
    <w:basedOn w:val="TableauNormal"/>
    <w:uiPriority w:val="99"/>
    <w:rsid w:val="006A3A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rsid w:val="006A3AB9"/>
    <w:pPr>
      <w:ind w:left="1440"/>
      <w:jc w:val="both"/>
    </w:pPr>
    <w:rPr>
      <w:rFonts w:eastAsia="Times New Roman"/>
      <w:b/>
      <w:iCs/>
      <w:szCs w:val="24"/>
      <w:lang w:val="fr-BE" w:eastAsia="nl-NL"/>
    </w:rPr>
  </w:style>
  <w:style w:type="character" w:customStyle="1" w:styleId="Retraitcorpsdetexte2Car">
    <w:name w:val="Retrait corps de texte 2 Car"/>
    <w:link w:val="Retraitcorpsdetexte2"/>
    <w:uiPriority w:val="99"/>
    <w:rsid w:val="006A3AB9"/>
    <w:rPr>
      <w:rFonts w:ascii="Arial" w:eastAsia="Times New Roman" w:hAnsi="Arial" w:cs="Times New Roman"/>
      <w:b/>
      <w:iCs/>
      <w:szCs w:val="24"/>
      <w:lang w:val="fr-BE" w:eastAsia="nl-NL"/>
    </w:rPr>
  </w:style>
  <w:style w:type="paragraph" w:styleId="Pieddepage">
    <w:name w:val="footer"/>
    <w:basedOn w:val="Normal"/>
    <w:link w:val="PieddepageCar"/>
    <w:uiPriority w:val="99"/>
    <w:rsid w:val="006A3AB9"/>
    <w:pPr>
      <w:tabs>
        <w:tab w:val="center" w:pos="4536"/>
        <w:tab w:val="right" w:pos="9072"/>
      </w:tabs>
      <w:ind w:left="1440"/>
      <w:jc w:val="both"/>
    </w:pPr>
    <w:rPr>
      <w:rFonts w:eastAsia="Times New Roman"/>
      <w:bCs/>
      <w:iCs/>
      <w:szCs w:val="24"/>
      <w:lang w:val="fr-FR" w:eastAsia="nl-NL"/>
    </w:rPr>
  </w:style>
  <w:style w:type="character" w:customStyle="1" w:styleId="PieddepageCar">
    <w:name w:val="Pied de page Car"/>
    <w:link w:val="Pieddepage"/>
    <w:uiPriority w:val="99"/>
    <w:rsid w:val="006A3AB9"/>
    <w:rPr>
      <w:rFonts w:ascii="Arial" w:eastAsia="Times New Roman" w:hAnsi="Arial" w:cs="Times New Roman"/>
      <w:bCs/>
      <w:iCs/>
      <w:szCs w:val="24"/>
      <w:lang w:val="fr-FR" w:eastAsia="nl-NL"/>
    </w:rPr>
  </w:style>
  <w:style w:type="paragraph" w:styleId="Textedebulles">
    <w:name w:val="Balloon Text"/>
    <w:basedOn w:val="Normal"/>
    <w:link w:val="TextedebullesCar"/>
    <w:uiPriority w:val="99"/>
    <w:semiHidden/>
    <w:rsid w:val="006A3AB9"/>
    <w:pPr>
      <w:ind w:left="1440"/>
      <w:jc w:val="both"/>
    </w:pPr>
    <w:rPr>
      <w:rFonts w:ascii="Tahoma" w:eastAsia="Times New Roman" w:hAnsi="Tahoma"/>
      <w:bCs/>
      <w:iCs/>
      <w:sz w:val="16"/>
      <w:szCs w:val="16"/>
      <w:lang w:val="fr-FR" w:eastAsia="nl-NL"/>
    </w:rPr>
  </w:style>
  <w:style w:type="character" w:customStyle="1" w:styleId="TextedebullesCar">
    <w:name w:val="Texte de bulles Car"/>
    <w:link w:val="Textedebulles"/>
    <w:uiPriority w:val="99"/>
    <w:semiHidden/>
    <w:rsid w:val="006A3AB9"/>
    <w:rPr>
      <w:rFonts w:ascii="Tahoma" w:eastAsia="Times New Roman" w:hAnsi="Tahoma" w:cs="Tahoma"/>
      <w:bCs/>
      <w:iCs/>
      <w:sz w:val="16"/>
      <w:szCs w:val="16"/>
      <w:lang w:val="fr-FR" w:eastAsia="nl-NL"/>
    </w:rPr>
  </w:style>
  <w:style w:type="paragraph" w:styleId="Listepuces2">
    <w:name w:val="List Bullet 2"/>
    <w:basedOn w:val="Normal"/>
    <w:uiPriority w:val="99"/>
    <w:rsid w:val="006A3AB9"/>
    <w:pPr>
      <w:numPr>
        <w:numId w:val="1"/>
      </w:numPr>
      <w:jc w:val="both"/>
    </w:pPr>
    <w:rPr>
      <w:rFonts w:eastAsia="Times New Roman"/>
      <w:bCs/>
      <w:iCs/>
      <w:szCs w:val="24"/>
      <w:lang w:val="fr-FR" w:eastAsia="nl-NL"/>
    </w:rPr>
  </w:style>
  <w:style w:type="paragraph" w:customStyle="1" w:styleId="Listbullet3bis">
    <w:name w:val="List bullet 3 bis"/>
    <w:basedOn w:val="Listepuces3"/>
    <w:uiPriority w:val="99"/>
    <w:rsid w:val="006A3AB9"/>
    <w:pPr>
      <w:ind w:left="2098" w:hanging="397"/>
    </w:pPr>
  </w:style>
  <w:style w:type="paragraph" w:styleId="Listepuces3">
    <w:name w:val="List Bullet 3"/>
    <w:basedOn w:val="Normal"/>
    <w:uiPriority w:val="99"/>
    <w:rsid w:val="006A3AB9"/>
    <w:pPr>
      <w:tabs>
        <w:tab w:val="num" w:pos="2061"/>
      </w:tabs>
      <w:ind w:left="1871" w:hanging="170"/>
      <w:jc w:val="both"/>
    </w:pPr>
    <w:rPr>
      <w:rFonts w:eastAsia="Times New Roman"/>
      <w:bCs/>
      <w:iCs/>
      <w:szCs w:val="24"/>
      <w:lang w:val="fr-FR" w:eastAsia="nl-NL"/>
    </w:rPr>
  </w:style>
  <w:style w:type="paragraph" w:styleId="Retraitcorpsdetexte">
    <w:name w:val="Body Text Indent"/>
    <w:basedOn w:val="Normal"/>
    <w:link w:val="RetraitcorpsdetexteCar"/>
    <w:uiPriority w:val="99"/>
    <w:rsid w:val="006A3AB9"/>
    <w:pPr>
      <w:spacing w:after="120"/>
      <w:ind w:left="283"/>
      <w:jc w:val="both"/>
    </w:pPr>
    <w:rPr>
      <w:rFonts w:eastAsia="Times New Roman"/>
      <w:bCs/>
      <w:iCs/>
      <w:szCs w:val="24"/>
      <w:lang w:val="fr-FR" w:eastAsia="nl-NL"/>
    </w:rPr>
  </w:style>
  <w:style w:type="character" w:customStyle="1" w:styleId="RetraitcorpsdetexteCar">
    <w:name w:val="Retrait corps de texte Car"/>
    <w:link w:val="Retraitcorpsdetexte"/>
    <w:uiPriority w:val="99"/>
    <w:rsid w:val="006A3AB9"/>
    <w:rPr>
      <w:rFonts w:ascii="Arial" w:eastAsia="Times New Roman" w:hAnsi="Arial" w:cs="Times New Roman"/>
      <w:bCs/>
      <w:iCs/>
      <w:szCs w:val="24"/>
      <w:lang w:val="fr-FR" w:eastAsia="nl-NL"/>
    </w:rPr>
  </w:style>
  <w:style w:type="character" w:styleId="Appelnotedebasdep">
    <w:name w:val="footnote reference"/>
    <w:uiPriority w:val="99"/>
    <w:semiHidden/>
    <w:rsid w:val="006A3AB9"/>
    <w:rPr>
      <w:rFonts w:cs="Times New Roman"/>
      <w:vertAlign w:val="superscript"/>
    </w:rPr>
  </w:style>
  <w:style w:type="paragraph" w:styleId="Notedebasdepage">
    <w:name w:val="footnote text"/>
    <w:basedOn w:val="Normal"/>
    <w:link w:val="NotedebasdepageCar"/>
    <w:uiPriority w:val="99"/>
    <w:semiHidden/>
    <w:rsid w:val="006A3AB9"/>
    <w:pPr>
      <w:widowControl w:val="0"/>
    </w:pPr>
    <w:rPr>
      <w:rFonts w:ascii="New Century Schoolbook" w:eastAsia="Times New Roman" w:hAnsi="New Century Schoolbook"/>
      <w:bCs/>
      <w:iCs/>
      <w:sz w:val="18"/>
      <w:szCs w:val="20"/>
      <w:lang w:val="en-GB" w:eastAsia="nl-NL"/>
    </w:rPr>
  </w:style>
  <w:style w:type="character" w:customStyle="1" w:styleId="NotedebasdepageCar">
    <w:name w:val="Note de bas de page Car"/>
    <w:link w:val="Notedebasdepage"/>
    <w:uiPriority w:val="99"/>
    <w:semiHidden/>
    <w:rsid w:val="006A3AB9"/>
    <w:rPr>
      <w:rFonts w:ascii="New Century Schoolbook" w:eastAsia="Times New Roman" w:hAnsi="New Century Schoolbook" w:cs="Times New Roman"/>
      <w:bCs/>
      <w:iCs/>
      <w:sz w:val="18"/>
      <w:szCs w:val="20"/>
      <w:lang w:val="en-GB" w:eastAsia="nl-NL"/>
    </w:rPr>
  </w:style>
  <w:style w:type="paragraph" w:customStyle="1" w:styleId="Summary">
    <w:name w:val="Summary"/>
    <w:basedOn w:val="Normal"/>
    <w:uiPriority w:val="99"/>
    <w:rsid w:val="006A3AB9"/>
    <w:pPr>
      <w:jc w:val="both"/>
    </w:pPr>
    <w:rPr>
      <w:rFonts w:eastAsia="Times New Roman"/>
      <w:bCs/>
      <w:iCs/>
      <w:szCs w:val="20"/>
      <w:lang w:val="fr-FR" w:eastAsia="nl-NL"/>
    </w:rPr>
  </w:style>
  <w:style w:type="paragraph" w:customStyle="1" w:styleId="Normalred">
    <w:name w:val="Normal red"/>
    <w:basedOn w:val="Normal"/>
    <w:uiPriority w:val="99"/>
    <w:rsid w:val="006A3AB9"/>
    <w:pPr>
      <w:ind w:left="1440"/>
      <w:jc w:val="both"/>
    </w:pPr>
    <w:rPr>
      <w:rFonts w:eastAsia="Times New Roman"/>
      <w:bCs/>
      <w:iCs/>
      <w:color w:val="FF0000"/>
      <w:szCs w:val="24"/>
      <w:lang w:val="fr-FR" w:eastAsia="nl-NL"/>
    </w:rPr>
  </w:style>
  <w:style w:type="paragraph" w:customStyle="1" w:styleId="Titre31">
    <w:name w:val="Titre 31"/>
    <w:basedOn w:val="Normal"/>
    <w:uiPriority w:val="99"/>
    <w:rsid w:val="006A3AB9"/>
    <w:pPr>
      <w:tabs>
        <w:tab w:val="left" w:pos="2160"/>
      </w:tabs>
      <w:jc w:val="both"/>
    </w:pPr>
    <w:rPr>
      <w:rFonts w:eastAsia="Times New Roman" w:cs="Arial"/>
      <w:lang w:eastAsia="nl-NL"/>
    </w:rPr>
  </w:style>
  <w:style w:type="paragraph" w:customStyle="1" w:styleId="normalred0">
    <w:name w:val="normal red"/>
    <w:basedOn w:val="Normal"/>
    <w:uiPriority w:val="99"/>
    <w:rsid w:val="006A3AB9"/>
    <w:pPr>
      <w:tabs>
        <w:tab w:val="left" w:pos="2160"/>
      </w:tabs>
      <w:ind w:left="1440"/>
      <w:jc w:val="both"/>
    </w:pPr>
    <w:rPr>
      <w:rFonts w:eastAsia="Times New Roman" w:cs="Arial"/>
      <w:color w:val="FF0000"/>
      <w:lang w:eastAsia="nl-NL"/>
    </w:rPr>
  </w:style>
  <w:style w:type="paragraph" w:styleId="Listenumros5">
    <w:name w:val="List Number 5"/>
    <w:basedOn w:val="Normal"/>
    <w:autoRedefine/>
    <w:uiPriority w:val="99"/>
    <w:rsid w:val="006A3AB9"/>
    <w:pPr>
      <w:numPr>
        <w:numId w:val="2"/>
      </w:numPr>
      <w:tabs>
        <w:tab w:val="clear" w:pos="926"/>
        <w:tab w:val="num" w:pos="2155"/>
      </w:tabs>
      <w:ind w:left="2155" w:hanging="454"/>
      <w:jc w:val="both"/>
    </w:pPr>
    <w:rPr>
      <w:rFonts w:eastAsia="Times New Roman" w:cs="Arial"/>
      <w:lang w:eastAsia="nl-NL"/>
    </w:rPr>
  </w:style>
  <w:style w:type="paragraph" w:customStyle="1" w:styleId="LijstStreepje">
    <w:name w:val="LijstStreepje"/>
    <w:basedOn w:val="Normal"/>
    <w:uiPriority w:val="99"/>
    <w:rsid w:val="006A3AB9"/>
    <w:pPr>
      <w:ind w:left="284" w:hanging="284"/>
    </w:pPr>
    <w:rPr>
      <w:rFonts w:eastAsia="Times New Roman"/>
      <w:lang w:eastAsia="nl-NL"/>
    </w:rPr>
  </w:style>
  <w:style w:type="paragraph" w:styleId="En-tte">
    <w:name w:val="header"/>
    <w:basedOn w:val="Normal"/>
    <w:link w:val="En-tteCar"/>
    <w:uiPriority w:val="99"/>
    <w:rsid w:val="006A3AB9"/>
    <w:pPr>
      <w:tabs>
        <w:tab w:val="center" w:pos="4320"/>
        <w:tab w:val="right" w:pos="8640"/>
      </w:tabs>
      <w:ind w:left="1440"/>
      <w:jc w:val="both"/>
    </w:pPr>
    <w:rPr>
      <w:rFonts w:eastAsia="Times New Roman"/>
      <w:bCs/>
      <w:iCs/>
      <w:szCs w:val="24"/>
      <w:lang w:val="fr-FR" w:eastAsia="nl-NL"/>
    </w:rPr>
  </w:style>
  <w:style w:type="character" w:customStyle="1" w:styleId="En-tteCar">
    <w:name w:val="En-tête Car"/>
    <w:link w:val="En-tte"/>
    <w:uiPriority w:val="99"/>
    <w:rsid w:val="006A3AB9"/>
    <w:rPr>
      <w:rFonts w:ascii="Arial" w:eastAsia="Times New Roman" w:hAnsi="Arial" w:cs="Times New Roman"/>
      <w:bCs/>
      <w:iCs/>
      <w:szCs w:val="24"/>
      <w:lang w:val="fr-FR" w:eastAsia="nl-NL"/>
    </w:rPr>
  </w:style>
  <w:style w:type="character" w:styleId="Numrodepage">
    <w:name w:val="page number"/>
    <w:uiPriority w:val="99"/>
    <w:rsid w:val="006A3AB9"/>
    <w:rPr>
      <w:rFonts w:cs="Times New Roman"/>
    </w:rPr>
  </w:style>
  <w:style w:type="paragraph" w:styleId="NormalWeb">
    <w:name w:val="Normal (Web)"/>
    <w:basedOn w:val="Normal"/>
    <w:uiPriority w:val="99"/>
    <w:rsid w:val="006A3AB9"/>
    <w:pPr>
      <w:spacing w:before="100" w:beforeAutospacing="1" w:after="100" w:afterAutospacing="1"/>
    </w:pPr>
    <w:rPr>
      <w:rFonts w:ascii="Times New Roman" w:eastAsia="Times New Roman" w:hAnsi="Times New Roman"/>
      <w:sz w:val="24"/>
      <w:szCs w:val="24"/>
      <w:lang w:val="en-US" w:eastAsia="en-US"/>
    </w:rPr>
  </w:style>
  <w:style w:type="character" w:customStyle="1" w:styleId="hps">
    <w:name w:val="hps"/>
    <w:rsid w:val="006A3AB9"/>
    <w:rPr>
      <w:rFonts w:cs="Times New Roman"/>
    </w:rPr>
  </w:style>
  <w:style w:type="character" w:customStyle="1" w:styleId="hpsatn">
    <w:name w:val="hps atn"/>
    <w:uiPriority w:val="99"/>
    <w:rsid w:val="006A3AB9"/>
    <w:rPr>
      <w:rFonts w:cs="Times New Roman"/>
    </w:rPr>
  </w:style>
  <w:style w:type="character" w:customStyle="1" w:styleId="shorttext">
    <w:name w:val="short_text"/>
    <w:uiPriority w:val="99"/>
    <w:rsid w:val="006A3AB9"/>
    <w:rPr>
      <w:rFonts w:cs="Times New Roman"/>
    </w:rPr>
  </w:style>
  <w:style w:type="paragraph" w:customStyle="1" w:styleId="Default">
    <w:name w:val="Default"/>
    <w:rsid w:val="006A3AB9"/>
    <w:pPr>
      <w:autoSpaceDE w:val="0"/>
      <w:autoSpaceDN w:val="0"/>
      <w:adjustRightInd w:val="0"/>
    </w:pPr>
    <w:rPr>
      <w:rFonts w:ascii="Arial" w:eastAsia="Times New Roman" w:hAnsi="Arial" w:cs="Arial"/>
      <w:color w:val="000000"/>
      <w:sz w:val="24"/>
      <w:szCs w:val="24"/>
      <w:lang w:val="nl-NL" w:eastAsia="nl-NL"/>
    </w:rPr>
  </w:style>
  <w:style w:type="character" w:styleId="Marquedecommentaire">
    <w:name w:val="annotation reference"/>
    <w:uiPriority w:val="99"/>
    <w:rsid w:val="006A3AB9"/>
    <w:rPr>
      <w:rFonts w:cs="Times New Roman"/>
      <w:sz w:val="16"/>
    </w:rPr>
  </w:style>
  <w:style w:type="paragraph" w:styleId="Commentaire">
    <w:name w:val="annotation text"/>
    <w:basedOn w:val="Normal"/>
    <w:link w:val="CommentaireCar"/>
    <w:uiPriority w:val="99"/>
    <w:rsid w:val="006A3AB9"/>
    <w:rPr>
      <w:rFonts w:ascii="Calibri" w:eastAsia="Times New Roman" w:hAnsi="Calibri"/>
      <w:szCs w:val="20"/>
      <w:lang w:val="fr-BE" w:eastAsia="en-US"/>
    </w:rPr>
  </w:style>
  <w:style w:type="character" w:customStyle="1" w:styleId="CommentaireCar">
    <w:name w:val="Commentaire Car"/>
    <w:link w:val="Commentaire"/>
    <w:uiPriority w:val="99"/>
    <w:rsid w:val="006A3AB9"/>
    <w:rPr>
      <w:rFonts w:ascii="Calibri" w:eastAsia="Times New Roman" w:hAnsi="Calibri" w:cs="Times New Roman"/>
      <w:sz w:val="20"/>
      <w:szCs w:val="20"/>
      <w:lang w:val="fr-BE" w:eastAsia="en-US"/>
    </w:rPr>
  </w:style>
  <w:style w:type="paragraph" w:styleId="Objetducommentaire">
    <w:name w:val="annotation subject"/>
    <w:basedOn w:val="Commentaire"/>
    <w:next w:val="Commentaire"/>
    <w:link w:val="ObjetducommentaireCar"/>
    <w:uiPriority w:val="99"/>
    <w:semiHidden/>
    <w:rsid w:val="006A3AB9"/>
    <w:pPr>
      <w:ind w:left="1440"/>
      <w:jc w:val="both"/>
    </w:pPr>
    <w:rPr>
      <w:rFonts w:ascii="Arial" w:hAnsi="Arial"/>
      <w:b/>
      <w:bCs/>
      <w:iCs/>
      <w:lang w:val="fr-FR" w:eastAsia="nl-NL"/>
    </w:rPr>
  </w:style>
  <w:style w:type="character" w:customStyle="1" w:styleId="ObjetducommentaireCar">
    <w:name w:val="Objet du commentaire Car"/>
    <w:link w:val="Objetducommentaire"/>
    <w:uiPriority w:val="99"/>
    <w:semiHidden/>
    <w:rsid w:val="006A3AB9"/>
    <w:rPr>
      <w:rFonts w:ascii="Arial" w:eastAsia="Times New Roman" w:hAnsi="Arial" w:cs="Times New Roman"/>
      <w:b/>
      <w:bCs/>
      <w:iCs/>
      <w:sz w:val="20"/>
      <w:szCs w:val="20"/>
      <w:lang w:val="fr-FR" w:eastAsia="nl-NL"/>
    </w:rPr>
  </w:style>
  <w:style w:type="paragraph" w:styleId="TM1">
    <w:name w:val="toc 1"/>
    <w:basedOn w:val="Normal"/>
    <w:next w:val="Normal"/>
    <w:autoRedefine/>
    <w:uiPriority w:val="39"/>
    <w:qFormat/>
    <w:rsid w:val="006F5A30"/>
    <w:pPr>
      <w:tabs>
        <w:tab w:val="left" w:pos="440"/>
        <w:tab w:val="right" w:leader="dot" w:pos="9639"/>
      </w:tabs>
      <w:jc w:val="both"/>
    </w:pPr>
    <w:rPr>
      <w:rFonts w:eastAsia="Times New Roman"/>
      <w:b/>
      <w:bCs/>
      <w:iCs/>
      <w:noProof/>
      <w:sz w:val="22"/>
      <w:lang w:val="fr-FR" w:eastAsia="nl-NL"/>
    </w:rPr>
  </w:style>
  <w:style w:type="paragraph" w:styleId="TM2">
    <w:name w:val="toc 2"/>
    <w:basedOn w:val="Normal"/>
    <w:next w:val="Normal"/>
    <w:autoRedefine/>
    <w:uiPriority w:val="39"/>
    <w:qFormat/>
    <w:rsid w:val="006A3AB9"/>
    <w:pPr>
      <w:ind w:left="220"/>
      <w:jc w:val="both"/>
    </w:pPr>
    <w:rPr>
      <w:rFonts w:eastAsia="Times New Roman"/>
      <w:bCs/>
      <w:iCs/>
      <w:szCs w:val="24"/>
      <w:lang w:val="fr-FR" w:eastAsia="nl-NL"/>
    </w:rPr>
  </w:style>
  <w:style w:type="paragraph" w:styleId="TM3">
    <w:name w:val="toc 3"/>
    <w:basedOn w:val="Normal"/>
    <w:next w:val="Normal"/>
    <w:autoRedefine/>
    <w:uiPriority w:val="39"/>
    <w:qFormat/>
    <w:rsid w:val="006F5A30"/>
    <w:pPr>
      <w:tabs>
        <w:tab w:val="left" w:pos="1100"/>
        <w:tab w:val="right" w:leader="dot" w:pos="9628"/>
      </w:tabs>
      <w:ind w:left="440"/>
      <w:jc w:val="both"/>
    </w:pPr>
    <w:rPr>
      <w:rFonts w:eastAsia="Times New Roman"/>
      <w:bCs/>
      <w:iCs/>
      <w:noProof/>
      <w:szCs w:val="20"/>
      <w:lang w:val="fr-FR" w:eastAsia="nl-NL"/>
    </w:rPr>
  </w:style>
  <w:style w:type="paragraph" w:styleId="TM4">
    <w:name w:val="toc 4"/>
    <w:basedOn w:val="Normal"/>
    <w:next w:val="Normal"/>
    <w:autoRedefine/>
    <w:uiPriority w:val="39"/>
    <w:rsid w:val="006A3AB9"/>
    <w:pPr>
      <w:ind w:left="660"/>
      <w:jc w:val="both"/>
    </w:pPr>
    <w:rPr>
      <w:rFonts w:eastAsia="Times New Roman"/>
      <w:bCs/>
      <w:i/>
      <w:iCs/>
      <w:sz w:val="18"/>
      <w:szCs w:val="24"/>
      <w:lang w:val="fr-FR" w:eastAsia="nl-NL"/>
    </w:rPr>
  </w:style>
  <w:style w:type="paragraph" w:styleId="Paragraphedeliste">
    <w:name w:val="List Paragraph"/>
    <w:aliases w:val="Bullets 1 niveau,Conclusion de partie,Dot pt,No Spacing1,List Paragraph Char Char Char,Indicator Text,Numbered Para 1,List Paragraph1,Bullet Points,MAIN CONTENT,List Paragraph12,List Paragraph11,OBC Bullet,F5 List Paragraph,Ha"/>
    <w:basedOn w:val="Normal"/>
    <w:link w:val="ParagraphedelisteCar"/>
    <w:uiPriority w:val="99"/>
    <w:qFormat/>
    <w:rsid w:val="006A3AB9"/>
    <w:pPr>
      <w:ind w:left="720"/>
      <w:contextualSpacing/>
      <w:jc w:val="both"/>
    </w:pPr>
    <w:rPr>
      <w:rFonts w:eastAsia="Times New Roman"/>
      <w:bCs/>
      <w:iCs/>
      <w:szCs w:val="24"/>
      <w:lang w:val="fr-FR" w:eastAsia="nl-NL"/>
    </w:rPr>
  </w:style>
  <w:style w:type="character" w:customStyle="1" w:styleId="longtext">
    <w:name w:val="long_text"/>
    <w:basedOn w:val="Policepardfaut"/>
    <w:rsid w:val="006A3AB9"/>
  </w:style>
  <w:style w:type="paragraph" w:customStyle="1" w:styleId="HEADINGA1">
    <w:name w:val="HEADING A1"/>
    <w:basedOn w:val="Normal"/>
    <w:qFormat/>
    <w:rsid w:val="00102695"/>
    <w:pPr>
      <w:ind w:left="432" w:hanging="432"/>
    </w:pPr>
    <w:rPr>
      <w:lang w:val="fr-BE"/>
    </w:rPr>
  </w:style>
  <w:style w:type="character" w:styleId="Lienhypertexte">
    <w:name w:val="Hyperlink"/>
    <w:uiPriority w:val="99"/>
    <w:unhideWhenUsed/>
    <w:rsid w:val="004E30B5"/>
    <w:rPr>
      <w:color w:val="0000FF"/>
      <w:u w:val="single"/>
    </w:rPr>
  </w:style>
  <w:style w:type="paragraph" w:styleId="En-ttedetabledesmatires">
    <w:name w:val="TOC Heading"/>
    <w:basedOn w:val="Normal"/>
    <w:next w:val="Normal"/>
    <w:uiPriority w:val="39"/>
    <w:semiHidden/>
    <w:unhideWhenUsed/>
    <w:qFormat/>
    <w:rsid w:val="004E30B5"/>
    <w:pPr>
      <w:keepLines/>
      <w:spacing w:before="480" w:line="276" w:lineRule="auto"/>
    </w:pPr>
    <w:rPr>
      <w:rFonts w:ascii="Cambria" w:hAnsi="Cambria"/>
      <w:iCs/>
      <w:caps/>
      <w:color w:val="365F91"/>
      <w:sz w:val="28"/>
      <w:szCs w:val="28"/>
      <w:lang w:val="en-US" w:eastAsia="ja-JP"/>
    </w:rPr>
  </w:style>
  <w:style w:type="paragraph" w:customStyle="1" w:styleId="ORESTEXTE">
    <w:name w:val="ORES TEXTE"/>
    <w:basedOn w:val="Normal"/>
    <w:link w:val="ORESTEXTECar"/>
    <w:qFormat/>
    <w:rsid w:val="0089393C"/>
    <w:pPr>
      <w:tabs>
        <w:tab w:val="left" w:pos="482"/>
      </w:tabs>
      <w:overflowPunct w:val="0"/>
      <w:autoSpaceDE w:val="0"/>
      <w:autoSpaceDN w:val="0"/>
      <w:adjustRightInd w:val="0"/>
      <w:spacing w:after="60"/>
      <w:textAlignment w:val="baseline"/>
    </w:pPr>
    <w:rPr>
      <w:rFonts w:eastAsia="Times New Roman"/>
      <w:bCs/>
      <w:szCs w:val="20"/>
      <w:lang w:val="fr-BE" w:eastAsia="fr-FR"/>
    </w:rPr>
  </w:style>
  <w:style w:type="character" w:customStyle="1" w:styleId="ORESTEXTECar">
    <w:name w:val="ORES TEXTE Car"/>
    <w:link w:val="ORESTEXTE"/>
    <w:rsid w:val="0089393C"/>
    <w:rPr>
      <w:rFonts w:ascii="Arial" w:eastAsia="Times New Roman" w:hAnsi="Arial" w:cs="Times New Roman"/>
      <w:bCs/>
      <w:sz w:val="20"/>
      <w:szCs w:val="20"/>
      <w:lang w:val="fr-BE" w:eastAsia="fr-FR"/>
    </w:rPr>
  </w:style>
  <w:style w:type="paragraph" w:customStyle="1" w:styleId="bodytext">
    <w:name w:val="bodytext"/>
    <w:basedOn w:val="Normal"/>
    <w:rsid w:val="00CE3526"/>
    <w:rPr>
      <w:rFonts w:eastAsia="Arial Unicode MS" w:cs="Arial"/>
      <w:color w:val="336699"/>
      <w:sz w:val="18"/>
      <w:szCs w:val="18"/>
      <w:lang w:val="fr-FR" w:eastAsia="fr-FR"/>
    </w:rPr>
  </w:style>
  <w:style w:type="paragraph" w:styleId="Sous-titre">
    <w:name w:val="Subtitle"/>
    <w:basedOn w:val="Normal"/>
    <w:next w:val="Normal"/>
    <w:link w:val="Sous-titreCar"/>
    <w:uiPriority w:val="11"/>
    <w:qFormat/>
    <w:rsid w:val="006D4278"/>
    <w:pPr>
      <w:numPr>
        <w:ilvl w:val="1"/>
      </w:numPr>
    </w:pPr>
    <w:rPr>
      <w:rFonts w:ascii="Cambria" w:hAnsi="Cambria"/>
      <w:i/>
      <w:iCs/>
      <w:color w:val="4F81BD"/>
      <w:spacing w:val="15"/>
      <w:sz w:val="24"/>
      <w:szCs w:val="24"/>
    </w:rPr>
  </w:style>
  <w:style w:type="character" w:customStyle="1" w:styleId="Sous-titreCar">
    <w:name w:val="Sous-titre Car"/>
    <w:link w:val="Sous-titre"/>
    <w:uiPriority w:val="11"/>
    <w:rsid w:val="006D4278"/>
    <w:rPr>
      <w:rFonts w:ascii="Cambria" w:eastAsia="SimSun" w:hAnsi="Cambria" w:cs="Times New Roman"/>
      <w:i/>
      <w:iCs/>
      <w:color w:val="4F81BD"/>
      <w:spacing w:val="15"/>
      <w:sz w:val="24"/>
      <w:szCs w:val="24"/>
    </w:rPr>
  </w:style>
  <w:style w:type="paragraph" w:customStyle="1" w:styleId="Titre32">
    <w:name w:val="Titre 32"/>
    <w:basedOn w:val="Normal"/>
    <w:uiPriority w:val="99"/>
    <w:rsid w:val="00D12BF1"/>
    <w:pPr>
      <w:tabs>
        <w:tab w:val="left" w:pos="2160"/>
      </w:tabs>
      <w:jc w:val="both"/>
    </w:pPr>
    <w:rPr>
      <w:rFonts w:eastAsia="Times New Roman" w:cs="Arial"/>
      <w:lang w:eastAsia="nl-NL"/>
    </w:rPr>
  </w:style>
  <w:style w:type="paragraph" w:styleId="Titre">
    <w:name w:val="Title"/>
    <w:basedOn w:val="Normal"/>
    <w:next w:val="Normal"/>
    <w:link w:val="TitreCar"/>
    <w:uiPriority w:val="10"/>
    <w:qFormat/>
    <w:rsid w:val="00C32B81"/>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link w:val="Titre"/>
    <w:uiPriority w:val="10"/>
    <w:rsid w:val="00C32B81"/>
    <w:rPr>
      <w:rFonts w:ascii="Cambria" w:eastAsia="SimSun" w:hAnsi="Cambria" w:cs="Times New Roman"/>
      <w:color w:val="17365D"/>
      <w:spacing w:val="5"/>
      <w:kern w:val="28"/>
      <w:sz w:val="52"/>
      <w:szCs w:val="52"/>
    </w:rPr>
  </w:style>
  <w:style w:type="paragraph" w:styleId="Sansinterligne">
    <w:name w:val="No Spacing"/>
    <w:uiPriority w:val="1"/>
    <w:qFormat/>
    <w:rsid w:val="00F9311C"/>
    <w:rPr>
      <w:rFonts w:ascii="Arial" w:hAnsi="Arial"/>
      <w:szCs w:val="22"/>
      <w:lang w:eastAsia="zh-CN"/>
    </w:rPr>
  </w:style>
  <w:style w:type="character" w:styleId="Numrodeligne">
    <w:name w:val="line number"/>
    <w:uiPriority w:val="99"/>
    <w:semiHidden/>
    <w:unhideWhenUsed/>
    <w:rsid w:val="0088381F"/>
  </w:style>
  <w:style w:type="character" w:styleId="Lienhypertextesuivivisit">
    <w:name w:val="FollowedHyperlink"/>
    <w:basedOn w:val="Policepardfaut"/>
    <w:uiPriority w:val="99"/>
    <w:semiHidden/>
    <w:unhideWhenUsed/>
    <w:rsid w:val="00754C2D"/>
    <w:rPr>
      <w:color w:val="800080" w:themeColor="followedHyperlink"/>
      <w:u w:val="single"/>
    </w:rPr>
  </w:style>
  <w:style w:type="paragraph" w:styleId="Rvision">
    <w:name w:val="Revision"/>
    <w:hidden/>
    <w:uiPriority w:val="99"/>
    <w:semiHidden/>
    <w:rsid w:val="00D86FA8"/>
    <w:rPr>
      <w:rFonts w:ascii="Arial" w:hAnsi="Arial"/>
      <w:szCs w:val="22"/>
      <w:lang w:eastAsia="zh-CN"/>
    </w:rPr>
  </w:style>
  <w:style w:type="character" w:customStyle="1" w:styleId="Titre1Car">
    <w:name w:val="Titre 1 Car"/>
    <w:basedOn w:val="Policepardfaut"/>
    <w:link w:val="Titre1"/>
    <w:uiPriority w:val="99"/>
    <w:rsid w:val="006032A6"/>
    <w:rPr>
      <w:rFonts w:asciiTheme="majorHAnsi" w:eastAsiaTheme="majorEastAsia" w:hAnsiTheme="majorHAnsi" w:cstheme="majorBidi"/>
      <w:b/>
      <w:bCs/>
      <w:color w:val="365F91" w:themeColor="accent1" w:themeShade="BF"/>
      <w:sz w:val="28"/>
      <w:szCs w:val="28"/>
      <w:lang w:eastAsia="zh-CN"/>
    </w:rPr>
  </w:style>
  <w:style w:type="character" w:customStyle="1" w:styleId="ParagraphedelisteCar">
    <w:name w:val="Paragraphe de liste Car"/>
    <w:aliases w:val="Bullets 1 niveau Car,Conclusion de partie Car,Dot pt Car,No Spacing1 Car,List Paragraph Char Char Char Car,Indicator Text Car,Numbered Para 1 Car,List Paragraph1 Car,Bullet Points Car,MAIN CONTENT Car,List Paragraph12 Car,Ha Car"/>
    <w:link w:val="Paragraphedeliste"/>
    <w:uiPriority w:val="34"/>
    <w:qFormat/>
    <w:locked/>
    <w:rsid w:val="005D28BE"/>
    <w:rPr>
      <w:rFonts w:ascii="Arial" w:eastAsia="Times New Roman" w:hAnsi="Arial"/>
      <w:bCs/>
      <w:iCs/>
      <w:szCs w:val="24"/>
      <w:lang w:val="fr-FR" w:eastAsia="nl-NL"/>
    </w:rPr>
  </w:style>
  <w:style w:type="character" w:styleId="Mentionnonrsolue">
    <w:name w:val="Unresolved Mention"/>
    <w:basedOn w:val="Policepardfaut"/>
    <w:uiPriority w:val="99"/>
    <w:semiHidden/>
    <w:unhideWhenUsed/>
    <w:rsid w:val="00E90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5642">
      <w:bodyDiv w:val="1"/>
      <w:marLeft w:val="0"/>
      <w:marRight w:val="0"/>
      <w:marTop w:val="0"/>
      <w:marBottom w:val="0"/>
      <w:divBdr>
        <w:top w:val="none" w:sz="0" w:space="0" w:color="auto"/>
        <w:left w:val="none" w:sz="0" w:space="0" w:color="auto"/>
        <w:bottom w:val="none" w:sz="0" w:space="0" w:color="auto"/>
        <w:right w:val="none" w:sz="0" w:space="0" w:color="auto"/>
      </w:divBdr>
    </w:div>
    <w:div w:id="1251621355">
      <w:bodyDiv w:val="1"/>
      <w:marLeft w:val="0"/>
      <w:marRight w:val="0"/>
      <w:marTop w:val="0"/>
      <w:marBottom w:val="0"/>
      <w:divBdr>
        <w:top w:val="none" w:sz="0" w:space="0" w:color="auto"/>
        <w:left w:val="none" w:sz="0" w:space="0" w:color="auto"/>
        <w:bottom w:val="none" w:sz="0" w:space="0" w:color="auto"/>
        <w:right w:val="none" w:sz="0" w:space="0" w:color="auto"/>
      </w:divBdr>
    </w:div>
    <w:div w:id="1460103687">
      <w:bodyDiv w:val="1"/>
      <w:marLeft w:val="0"/>
      <w:marRight w:val="0"/>
      <w:marTop w:val="0"/>
      <w:marBottom w:val="0"/>
      <w:divBdr>
        <w:top w:val="none" w:sz="0" w:space="0" w:color="auto"/>
        <w:left w:val="none" w:sz="0" w:space="0" w:color="auto"/>
        <w:bottom w:val="none" w:sz="0" w:space="0" w:color="auto"/>
        <w:right w:val="none" w:sz="0" w:space="0" w:color="auto"/>
      </w:divBdr>
    </w:div>
    <w:div w:id="1523133351">
      <w:bodyDiv w:val="1"/>
      <w:marLeft w:val="0"/>
      <w:marRight w:val="0"/>
      <w:marTop w:val="0"/>
      <w:marBottom w:val="0"/>
      <w:divBdr>
        <w:top w:val="none" w:sz="0" w:space="0" w:color="auto"/>
        <w:left w:val="none" w:sz="0" w:space="0" w:color="auto"/>
        <w:bottom w:val="none" w:sz="0" w:space="0" w:color="auto"/>
        <w:right w:val="none" w:sz="0" w:space="0" w:color="auto"/>
      </w:divBdr>
    </w:div>
    <w:div w:id="1855606581">
      <w:bodyDiv w:val="1"/>
      <w:marLeft w:val="0"/>
      <w:marRight w:val="0"/>
      <w:marTop w:val="0"/>
      <w:marBottom w:val="0"/>
      <w:divBdr>
        <w:top w:val="none" w:sz="0" w:space="0" w:color="auto"/>
        <w:left w:val="none" w:sz="0" w:space="0" w:color="auto"/>
        <w:bottom w:val="none" w:sz="0" w:space="0" w:color="auto"/>
        <w:right w:val="none" w:sz="0" w:space="0" w:color="auto"/>
      </w:divBdr>
    </w:div>
    <w:div w:id="206032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ynergrid.be/index.cfm?PageID=16832"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Excel_Worksheet.xls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C51DB47F80B4EBB090B603733CE6E" ma:contentTypeVersion="10" ma:contentTypeDescription="Crée un document." ma:contentTypeScope="" ma:versionID="276b1fa3bc28b5307ab7f28c50a74b5a">
  <xsd:schema xmlns:xsd="http://www.w3.org/2001/XMLSchema" xmlns:xs="http://www.w3.org/2001/XMLSchema" xmlns:p="http://schemas.microsoft.com/office/2006/metadata/properties" xmlns:ns3="a4d9195b-5177-4366-a896-1f3537dbad15" targetNamespace="http://schemas.microsoft.com/office/2006/metadata/properties" ma:root="true" ma:fieldsID="71aa207df716ddc816a1e4d83f4fd997" ns3:_="">
    <xsd:import namespace="a4d9195b-5177-4366-a896-1f3537dbad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9195b-5177-4366-a896-1f3537dba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0808-E2F4-4EBC-8422-A1287F00E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9195b-5177-4366-a896-1f3537dba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3E1C9-BCF6-431C-8F3A-7637E4DC9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A8836F-5FA3-46D2-8B78-6DD4D0D9E6BE}">
  <ds:schemaRefs>
    <ds:schemaRef ds:uri="http://schemas.openxmlformats.org/officeDocument/2006/bibliography"/>
  </ds:schemaRefs>
</ds:datastoreItem>
</file>

<file path=customXml/itemProps4.xml><?xml version="1.0" encoding="utf-8"?>
<ds:datastoreItem xmlns:ds="http://schemas.openxmlformats.org/officeDocument/2006/customXml" ds:itemID="{899D93E8-758A-4A4B-BF46-A2CC47A74B62}">
  <ds:schemaRefs>
    <ds:schemaRef ds:uri="http://schemas.openxmlformats.org/officeDocument/2006/bibliography"/>
  </ds:schemaRefs>
</ds:datastoreItem>
</file>

<file path=customXml/itemProps5.xml><?xml version="1.0" encoding="utf-8"?>
<ds:datastoreItem xmlns:ds="http://schemas.openxmlformats.org/officeDocument/2006/customXml" ds:itemID="{9B43A920-712B-4FC3-851E-BA82EEB0F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4802</Words>
  <Characters>26414</Characters>
  <Application>Microsoft Office Word</Application>
  <DocSecurity>4</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Tecteo</Company>
  <LinksUpToDate>false</LinksUpToDate>
  <CharactersWithSpaces>31154</CharactersWithSpaces>
  <SharedDoc>false</SharedDoc>
  <HLinks>
    <vt:vector size="90" baseType="variant">
      <vt:variant>
        <vt:i4>1179697</vt:i4>
      </vt:variant>
      <vt:variant>
        <vt:i4>86</vt:i4>
      </vt:variant>
      <vt:variant>
        <vt:i4>0</vt:i4>
      </vt:variant>
      <vt:variant>
        <vt:i4>5</vt:i4>
      </vt:variant>
      <vt:variant>
        <vt:lpwstr/>
      </vt:variant>
      <vt:variant>
        <vt:lpwstr>_Toc414345525</vt:lpwstr>
      </vt:variant>
      <vt:variant>
        <vt:i4>1179697</vt:i4>
      </vt:variant>
      <vt:variant>
        <vt:i4>80</vt:i4>
      </vt:variant>
      <vt:variant>
        <vt:i4>0</vt:i4>
      </vt:variant>
      <vt:variant>
        <vt:i4>5</vt:i4>
      </vt:variant>
      <vt:variant>
        <vt:lpwstr/>
      </vt:variant>
      <vt:variant>
        <vt:lpwstr>_Toc414345524</vt:lpwstr>
      </vt:variant>
      <vt:variant>
        <vt:i4>1179697</vt:i4>
      </vt:variant>
      <vt:variant>
        <vt:i4>74</vt:i4>
      </vt:variant>
      <vt:variant>
        <vt:i4>0</vt:i4>
      </vt:variant>
      <vt:variant>
        <vt:i4>5</vt:i4>
      </vt:variant>
      <vt:variant>
        <vt:lpwstr/>
      </vt:variant>
      <vt:variant>
        <vt:lpwstr>_Toc414345523</vt:lpwstr>
      </vt:variant>
      <vt:variant>
        <vt:i4>1179697</vt:i4>
      </vt:variant>
      <vt:variant>
        <vt:i4>68</vt:i4>
      </vt:variant>
      <vt:variant>
        <vt:i4>0</vt:i4>
      </vt:variant>
      <vt:variant>
        <vt:i4>5</vt:i4>
      </vt:variant>
      <vt:variant>
        <vt:lpwstr/>
      </vt:variant>
      <vt:variant>
        <vt:lpwstr>_Toc414345522</vt:lpwstr>
      </vt:variant>
      <vt:variant>
        <vt:i4>1179697</vt:i4>
      </vt:variant>
      <vt:variant>
        <vt:i4>62</vt:i4>
      </vt:variant>
      <vt:variant>
        <vt:i4>0</vt:i4>
      </vt:variant>
      <vt:variant>
        <vt:i4>5</vt:i4>
      </vt:variant>
      <vt:variant>
        <vt:lpwstr/>
      </vt:variant>
      <vt:variant>
        <vt:lpwstr>_Toc414345521</vt:lpwstr>
      </vt:variant>
      <vt:variant>
        <vt:i4>1179697</vt:i4>
      </vt:variant>
      <vt:variant>
        <vt:i4>56</vt:i4>
      </vt:variant>
      <vt:variant>
        <vt:i4>0</vt:i4>
      </vt:variant>
      <vt:variant>
        <vt:i4>5</vt:i4>
      </vt:variant>
      <vt:variant>
        <vt:lpwstr/>
      </vt:variant>
      <vt:variant>
        <vt:lpwstr>_Toc414345520</vt:lpwstr>
      </vt:variant>
      <vt:variant>
        <vt:i4>1114161</vt:i4>
      </vt:variant>
      <vt:variant>
        <vt:i4>50</vt:i4>
      </vt:variant>
      <vt:variant>
        <vt:i4>0</vt:i4>
      </vt:variant>
      <vt:variant>
        <vt:i4>5</vt:i4>
      </vt:variant>
      <vt:variant>
        <vt:lpwstr/>
      </vt:variant>
      <vt:variant>
        <vt:lpwstr>_Toc414345519</vt:lpwstr>
      </vt:variant>
      <vt:variant>
        <vt:i4>1114161</vt:i4>
      </vt:variant>
      <vt:variant>
        <vt:i4>44</vt:i4>
      </vt:variant>
      <vt:variant>
        <vt:i4>0</vt:i4>
      </vt:variant>
      <vt:variant>
        <vt:i4>5</vt:i4>
      </vt:variant>
      <vt:variant>
        <vt:lpwstr/>
      </vt:variant>
      <vt:variant>
        <vt:lpwstr>_Toc414345518</vt:lpwstr>
      </vt:variant>
      <vt:variant>
        <vt:i4>1114161</vt:i4>
      </vt:variant>
      <vt:variant>
        <vt:i4>38</vt:i4>
      </vt:variant>
      <vt:variant>
        <vt:i4>0</vt:i4>
      </vt:variant>
      <vt:variant>
        <vt:i4>5</vt:i4>
      </vt:variant>
      <vt:variant>
        <vt:lpwstr/>
      </vt:variant>
      <vt:variant>
        <vt:lpwstr>_Toc414345517</vt:lpwstr>
      </vt:variant>
      <vt:variant>
        <vt:i4>1114161</vt:i4>
      </vt:variant>
      <vt:variant>
        <vt:i4>32</vt:i4>
      </vt:variant>
      <vt:variant>
        <vt:i4>0</vt:i4>
      </vt:variant>
      <vt:variant>
        <vt:i4>5</vt:i4>
      </vt:variant>
      <vt:variant>
        <vt:lpwstr/>
      </vt:variant>
      <vt:variant>
        <vt:lpwstr>_Toc414345516</vt:lpwstr>
      </vt:variant>
      <vt:variant>
        <vt:i4>1114161</vt:i4>
      </vt:variant>
      <vt:variant>
        <vt:i4>26</vt:i4>
      </vt:variant>
      <vt:variant>
        <vt:i4>0</vt:i4>
      </vt:variant>
      <vt:variant>
        <vt:i4>5</vt:i4>
      </vt:variant>
      <vt:variant>
        <vt:lpwstr/>
      </vt:variant>
      <vt:variant>
        <vt:lpwstr>_Toc414345515</vt:lpwstr>
      </vt:variant>
      <vt:variant>
        <vt:i4>1114161</vt:i4>
      </vt:variant>
      <vt:variant>
        <vt:i4>20</vt:i4>
      </vt:variant>
      <vt:variant>
        <vt:i4>0</vt:i4>
      </vt:variant>
      <vt:variant>
        <vt:i4>5</vt:i4>
      </vt:variant>
      <vt:variant>
        <vt:lpwstr/>
      </vt:variant>
      <vt:variant>
        <vt:lpwstr>_Toc414345514</vt:lpwstr>
      </vt:variant>
      <vt:variant>
        <vt:i4>1114161</vt:i4>
      </vt:variant>
      <vt:variant>
        <vt:i4>14</vt:i4>
      </vt:variant>
      <vt:variant>
        <vt:i4>0</vt:i4>
      </vt:variant>
      <vt:variant>
        <vt:i4>5</vt:i4>
      </vt:variant>
      <vt:variant>
        <vt:lpwstr/>
      </vt:variant>
      <vt:variant>
        <vt:lpwstr>_Toc414345513</vt:lpwstr>
      </vt:variant>
      <vt:variant>
        <vt:i4>1114161</vt:i4>
      </vt:variant>
      <vt:variant>
        <vt:i4>8</vt:i4>
      </vt:variant>
      <vt:variant>
        <vt:i4>0</vt:i4>
      </vt:variant>
      <vt:variant>
        <vt:i4>5</vt:i4>
      </vt:variant>
      <vt:variant>
        <vt:lpwstr/>
      </vt:variant>
      <vt:variant>
        <vt:lpwstr>_Toc414345512</vt:lpwstr>
      </vt:variant>
      <vt:variant>
        <vt:i4>1114161</vt:i4>
      </vt:variant>
      <vt:variant>
        <vt:i4>2</vt:i4>
      </vt:variant>
      <vt:variant>
        <vt:i4>0</vt:i4>
      </vt:variant>
      <vt:variant>
        <vt:i4>5</vt:i4>
      </vt:variant>
      <vt:variant>
        <vt:lpwstr/>
      </vt:variant>
      <vt:variant>
        <vt:lpwstr>_Toc414345511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Micheline De Cupere</dc:creator>
  <cp:lastModifiedBy>Valérie DELENTREE</cp:lastModifiedBy>
  <cp:revision>2</cp:revision>
  <cp:lastPrinted>2014-12-22T13:56:00Z</cp:lastPrinted>
  <dcterms:created xsi:type="dcterms:W3CDTF">2022-02-18T08:06:00Z</dcterms:created>
  <dcterms:modified xsi:type="dcterms:W3CDTF">2022-02-18T08:06:00Z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0x010100BB3C51DB47F80B4EBB090B603733CE6E</vt:lpwstr>
  </property>
</Properties>
</file>