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583D" w14:textId="0F0F6DFF" w:rsidR="00E24E1A" w:rsidRDefault="00E24E1A" w:rsidP="00D7652D">
      <w:pPr>
        <w:pStyle w:val="Titre1"/>
        <w:jc w:val="both"/>
        <w:rPr>
          <w:sz w:val="32"/>
          <w:szCs w:val="32"/>
        </w:rPr>
      </w:pPr>
      <w:r w:rsidRPr="00F863D7">
        <w:rPr>
          <w:sz w:val="32"/>
          <w:szCs w:val="32"/>
        </w:rPr>
        <w:t xml:space="preserve">Annexe 2 ter: Modalités d’exploitation complémentaires spécifiques </w:t>
      </w:r>
      <w:r w:rsidR="00A75D41">
        <w:rPr>
          <w:sz w:val="32"/>
          <w:szCs w:val="32"/>
        </w:rPr>
        <w:t>au</w:t>
      </w:r>
      <w:r w:rsidR="00BE4A61">
        <w:rPr>
          <w:sz w:val="32"/>
          <w:szCs w:val="32"/>
        </w:rPr>
        <w:t>x installations de</w:t>
      </w:r>
      <w:r w:rsidR="00A75D41">
        <w:rPr>
          <w:sz w:val="32"/>
          <w:szCs w:val="32"/>
        </w:rPr>
        <w:t xml:space="preserve"> prélèvement</w:t>
      </w:r>
      <w:r w:rsidR="00671064">
        <w:rPr>
          <w:sz w:val="32"/>
          <w:szCs w:val="32"/>
        </w:rPr>
        <w:t xml:space="preserve"> </w:t>
      </w:r>
      <w:r w:rsidRPr="00F863D7">
        <w:rPr>
          <w:sz w:val="32"/>
          <w:szCs w:val="32"/>
        </w:rPr>
        <w:t>d’une puissance supérieure à 250 kVA raccordé</w:t>
      </w:r>
      <w:r w:rsidR="00D77E40">
        <w:rPr>
          <w:sz w:val="32"/>
          <w:szCs w:val="32"/>
        </w:rPr>
        <w:t>e</w:t>
      </w:r>
      <w:r w:rsidRPr="00F863D7">
        <w:rPr>
          <w:sz w:val="32"/>
          <w:szCs w:val="32"/>
        </w:rPr>
        <w:t>s au réseau de transport local</w:t>
      </w:r>
      <w:r w:rsidR="00E565BA">
        <w:rPr>
          <w:sz w:val="32"/>
          <w:szCs w:val="32"/>
        </w:rPr>
        <w:t xml:space="preserve"> Wallon</w:t>
      </w:r>
      <w:r w:rsidRPr="00F863D7">
        <w:rPr>
          <w:sz w:val="32"/>
          <w:szCs w:val="32"/>
        </w:rPr>
        <w:t xml:space="preserve"> </w:t>
      </w:r>
    </w:p>
    <w:p w14:paraId="7FED8E15" w14:textId="77777777" w:rsidR="004A7BEF" w:rsidRPr="00777F38" w:rsidRDefault="004A7BEF" w:rsidP="00483346">
      <w:pPr>
        <w:jc w:val="both"/>
        <w:rPr>
          <w:rFonts w:ascii="Arial" w:hAnsi="Arial" w:cs="Arial"/>
          <w:sz w:val="20"/>
          <w:szCs w:val="20"/>
        </w:rPr>
      </w:pPr>
    </w:p>
    <w:p w14:paraId="651AB53C" w14:textId="6CDB1038" w:rsidR="00511C6E" w:rsidRDefault="00D24CFA" w:rsidP="00D7652D">
      <w:pPr>
        <w:jc w:val="both"/>
        <w:rPr>
          <w:rFonts w:ascii="Arial" w:hAnsi="Arial" w:cs="Arial"/>
          <w:sz w:val="20"/>
          <w:szCs w:val="20"/>
        </w:rPr>
      </w:pPr>
      <w:r w:rsidRPr="00777F38">
        <w:rPr>
          <w:rFonts w:ascii="Arial" w:hAnsi="Arial" w:cs="Arial"/>
          <w:sz w:val="20"/>
          <w:szCs w:val="20"/>
        </w:rPr>
        <w:t xml:space="preserve">La présente annexe s’applique </w:t>
      </w:r>
      <w:r w:rsidR="00966573" w:rsidRPr="009820B2">
        <w:rPr>
          <w:rFonts w:ascii="Arial" w:hAnsi="Arial" w:cs="Arial"/>
          <w:sz w:val="20"/>
          <w:szCs w:val="20"/>
        </w:rPr>
        <w:t>au raccordement</w:t>
      </w:r>
      <w:r w:rsidRPr="009820B2">
        <w:rPr>
          <w:rFonts w:ascii="Arial" w:hAnsi="Arial" w:cs="Arial"/>
          <w:sz w:val="20"/>
          <w:szCs w:val="20"/>
        </w:rPr>
        <w:t xml:space="preserve"> d</w:t>
      </w:r>
      <w:r w:rsidR="00966573" w:rsidRPr="009820B2">
        <w:rPr>
          <w:rFonts w:ascii="Arial" w:hAnsi="Arial" w:cs="Arial"/>
          <w:sz w:val="20"/>
          <w:szCs w:val="20"/>
        </w:rPr>
        <w:t>’</w:t>
      </w:r>
      <w:r w:rsidR="009820B2">
        <w:rPr>
          <w:rFonts w:ascii="Arial" w:hAnsi="Arial" w:cs="Arial"/>
          <w:sz w:val="20"/>
          <w:szCs w:val="20"/>
        </w:rPr>
        <w:t>I</w:t>
      </w:r>
      <w:r w:rsidRPr="009820B2">
        <w:rPr>
          <w:rFonts w:ascii="Arial" w:hAnsi="Arial" w:cs="Arial"/>
          <w:sz w:val="20"/>
          <w:szCs w:val="20"/>
        </w:rPr>
        <w:t xml:space="preserve">nstallations de </w:t>
      </w:r>
      <w:r w:rsidR="009820B2">
        <w:rPr>
          <w:rFonts w:ascii="Arial" w:hAnsi="Arial" w:cs="Arial"/>
          <w:sz w:val="20"/>
          <w:szCs w:val="20"/>
        </w:rPr>
        <w:t>P</w:t>
      </w:r>
      <w:r w:rsidRPr="009820B2">
        <w:rPr>
          <w:rFonts w:ascii="Arial" w:hAnsi="Arial" w:cs="Arial"/>
          <w:sz w:val="20"/>
          <w:szCs w:val="20"/>
        </w:rPr>
        <w:t>rélèvement</w:t>
      </w:r>
      <w:r w:rsidR="00D77E40">
        <w:rPr>
          <w:rFonts w:ascii="Arial" w:hAnsi="Arial" w:cs="Arial"/>
          <w:sz w:val="20"/>
          <w:szCs w:val="20"/>
        </w:rPr>
        <w:t xml:space="preserve">, en ce incluses les </w:t>
      </w:r>
      <w:r w:rsidR="00EB1C87">
        <w:rPr>
          <w:rFonts w:ascii="Arial" w:hAnsi="Arial" w:cs="Arial"/>
          <w:sz w:val="20"/>
          <w:szCs w:val="20"/>
        </w:rPr>
        <w:t>U</w:t>
      </w:r>
      <w:r w:rsidR="00D77E40">
        <w:rPr>
          <w:rFonts w:ascii="Arial" w:hAnsi="Arial" w:cs="Arial"/>
          <w:sz w:val="20"/>
          <w:szCs w:val="20"/>
        </w:rPr>
        <w:t>nités</w:t>
      </w:r>
      <w:r w:rsidR="00F96DCA">
        <w:rPr>
          <w:rFonts w:ascii="Arial" w:hAnsi="Arial" w:cs="Arial"/>
          <w:sz w:val="20"/>
          <w:szCs w:val="20"/>
        </w:rPr>
        <w:t xml:space="preserve"> de Stockage d’Electricité</w:t>
      </w:r>
      <w:r w:rsidR="00D77E40">
        <w:rPr>
          <w:rFonts w:ascii="Arial" w:hAnsi="Arial" w:cs="Arial"/>
          <w:sz w:val="20"/>
          <w:szCs w:val="20"/>
        </w:rPr>
        <w:t>,</w:t>
      </w:r>
      <w:r w:rsidRPr="009820B2">
        <w:rPr>
          <w:rFonts w:ascii="Arial" w:hAnsi="Arial" w:cs="Arial"/>
          <w:sz w:val="20"/>
          <w:szCs w:val="20"/>
        </w:rPr>
        <w:t xml:space="preserve"> </w:t>
      </w:r>
      <w:r w:rsidRPr="009D0AB3">
        <w:rPr>
          <w:rFonts w:ascii="Arial" w:hAnsi="Arial" w:cs="Arial"/>
          <w:sz w:val="20"/>
          <w:szCs w:val="20"/>
        </w:rPr>
        <w:t>raccordé</w:t>
      </w:r>
      <w:r w:rsidR="002D7834" w:rsidRPr="009D0AB3">
        <w:rPr>
          <w:rFonts w:ascii="Arial" w:hAnsi="Arial" w:cs="Arial"/>
          <w:sz w:val="20"/>
          <w:szCs w:val="20"/>
        </w:rPr>
        <w:t>e</w:t>
      </w:r>
      <w:r w:rsidRPr="009D0AB3">
        <w:rPr>
          <w:rFonts w:ascii="Arial" w:hAnsi="Arial" w:cs="Arial"/>
          <w:sz w:val="20"/>
          <w:szCs w:val="20"/>
        </w:rPr>
        <w:t xml:space="preserve">s au réseau de transport local en </w:t>
      </w:r>
      <w:r w:rsidR="000D0058" w:rsidRPr="009D0AB3">
        <w:rPr>
          <w:rFonts w:ascii="Arial" w:hAnsi="Arial" w:cs="Arial"/>
          <w:sz w:val="20"/>
          <w:szCs w:val="20"/>
        </w:rPr>
        <w:t xml:space="preserve">Région </w:t>
      </w:r>
      <w:r w:rsidR="000D0058" w:rsidRPr="001A014E">
        <w:rPr>
          <w:rFonts w:ascii="Arial" w:hAnsi="Arial" w:cs="Arial"/>
          <w:sz w:val="20"/>
          <w:szCs w:val="20"/>
        </w:rPr>
        <w:t>Wallonne</w:t>
      </w:r>
      <w:r w:rsidRPr="001A014E">
        <w:rPr>
          <w:rFonts w:ascii="Arial" w:hAnsi="Arial" w:cs="Arial"/>
          <w:sz w:val="20"/>
          <w:szCs w:val="20"/>
        </w:rPr>
        <w:t xml:space="preserve">, conformément </w:t>
      </w:r>
      <w:r w:rsidR="00142A0F" w:rsidRPr="001A014E">
        <w:rPr>
          <w:rFonts w:ascii="Arial" w:hAnsi="Arial" w:cs="Arial"/>
          <w:sz w:val="20"/>
          <w:szCs w:val="20"/>
        </w:rPr>
        <w:t xml:space="preserve">aux </w:t>
      </w:r>
      <w:r w:rsidRPr="001A014E">
        <w:rPr>
          <w:rFonts w:ascii="Arial" w:hAnsi="Arial" w:cs="Arial"/>
          <w:sz w:val="20"/>
          <w:szCs w:val="20"/>
        </w:rPr>
        <w:t>article</w:t>
      </w:r>
      <w:r w:rsidR="00142A0F" w:rsidRPr="001A014E">
        <w:rPr>
          <w:rFonts w:ascii="Arial" w:hAnsi="Arial" w:cs="Arial"/>
          <w:sz w:val="20"/>
          <w:szCs w:val="20"/>
        </w:rPr>
        <w:t>s</w:t>
      </w:r>
      <w:r w:rsidRPr="001A014E">
        <w:rPr>
          <w:rFonts w:ascii="Arial" w:hAnsi="Arial" w:cs="Arial"/>
          <w:sz w:val="20"/>
          <w:szCs w:val="20"/>
        </w:rPr>
        <w:t xml:space="preserve"> 26 </w:t>
      </w:r>
      <w:r w:rsidR="006F2BEB" w:rsidRPr="001A014E">
        <w:rPr>
          <w:rFonts w:ascii="Arial" w:hAnsi="Arial" w:cs="Arial"/>
          <w:sz w:val="20"/>
          <w:szCs w:val="20"/>
        </w:rPr>
        <w:t>§</w:t>
      </w:r>
      <w:r w:rsidR="00747549" w:rsidRPr="001A014E">
        <w:rPr>
          <w:rFonts w:ascii="Arial" w:hAnsi="Arial" w:cs="Arial"/>
          <w:sz w:val="20"/>
          <w:szCs w:val="20"/>
        </w:rPr>
        <w:t>2octies et nonies</w:t>
      </w:r>
      <w:r w:rsidR="00667EF9">
        <w:rPr>
          <w:rStyle w:val="Appelnotedebasdep"/>
          <w:rFonts w:ascii="Arial" w:hAnsi="Arial" w:cs="Arial"/>
          <w:sz w:val="20"/>
          <w:szCs w:val="20"/>
        </w:rPr>
        <w:footnoteReference w:id="2"/>
      </w:r>
      <w:r w:rsidRPr="001A014E">
        <w:rPr>
          <w:rFonts w:ascii="Arial" w:hAnsi="Arial" w:cs="Arial"/>
          <w:sz w:val="20"/>
          <w:szCs w:val="20"/>
        </w:rPr>
        <w:t xml:space="preserve"> du décret </w:t>
      </w:r>
      <w:r w:rsidR="008734B5" w:rsidRPr="001A014E">
        <w:rPr>
          <w:rFonts w:ascii="Arial" w:hAnsi="Arial" w:cs="Arial"/>
          <w:sz w:val="20"/>
          <w:szCs w:val="20"/>
        </w:rPr>
        <w:t xml:space="preserve">de la Région wallonne </w:t>
      </w:r>
      <w:r w:rsidRPr="001A014E">
        <w:rPr>
          <w:rFonts w:ascii="Arial" w:hAnsi="Arial" w:cs="Arial"/>
          <w:sz w:val="20"/>
          <w:szCs w:val="20"/>
        </w:rPr>
        <w:t>du 12 avril 2001</w:t>
      </w:r>
      <w:r w:rsidR="008734B5" w:rsidRPr="001A014E">
        <w:rPr>
          <w:rFonts w:ascii="Arial" w:hAnsi="Arial" w:cs="Arial"/>
          <w:sz w:val="20"/>
          <w:szCs w:val="20"/>
        </w:rPr>
        <w:t> relatif à l’organisation du marché régional de l’électricité</w:t>
      </w:r>
      <w:r w:rsidR="00D5155B">
        <w:rPr>
          <w:rFonts w:ascii="Arial" w:hAnsi="Arial" w:cs="Arial"/>
          <w:sz w:val="20"/>
          <w:szCs w:val="20"/>
        </w:rPr>
        <w:t xml:space="preserve"> (ci-après « Décret wallon »)</w:t>
      </w:r>
      <w:r w:rsidR="008734B5" w:rsidRPr="001A014E">
        <w:rPr>
          <w:rFonts w:ascii="Arial" w:hAnsi="Arial" w:cs="Arial"/>
          <w:sz w:val="20"/>
          <w:szCs w:val="20"/>
        </w:rPr>
        <w:t>,</w:t>
      </w:r>
      <w:r w:rsidR="00920D86" w:rsidRPr="00920D86">
        <w:rPr>
          <w:rFonts w:ascii="Arial" w:hAnsi="Arial" w:cs="Arial"/>
          <w:sz w:val="20"/>
          <w:szCs w:val="20"/>
        </w:rPr>
        <w:t xml:space="preserve"> </w:t>
      </w:r>
      <w:r w:rsidR="00920D86">
        <w:rPr>
          <w:rFonts w:ascii="Arial" w:hAnsi="Arial" w:cs="Arial"/>
          <w:sz w:val="20"/>
          <w:szCs w:val="20"/>
        </w:rPr>
        <w:t>à l’exception du raccordement d’Unités de Stockage visées à l’article 26 §2nonies alinéa 2</w:t>
      </w:r>
      <w:r w:rsidR="00BE1BC5">
        <w:rPr>
          <w:rFonts w:ascii="Arial" w:hAnsi="Arial" w:cs="Arial"/>
          <w:sz w:val="20"/>
          <w:szCs w:val="20"/>
        </w:rPr>
        <w:t>.</w:t>
      </w:r>
      <w:r w:rsidR="00597EA0" w:rsidRPr="001A014E" w:rsidDel="00597EA0">
        <w:rPr>
          <w:rFonts w:ascii="Arial" w:hAnsi="Arial" w:cs="Arial"/>
          <w:sz w:val="20"/>
          <w:szCs w:val="20"/>
        </w:rPr>
        <w:t xml:space="preserve"> </w:t>
      </w:r>
    </w:p>
    <w:p w14:paraId="6DB8D59F" w14:textId="2E340FCA" w:rsidR="00266940" w:rsidRDefault="00CC7151" w:rsidP="00D7652D">
      <w:pPr>
        <w:jc w:val="both"/>
      </w:pPr>
      <w:r w:rsidRPr="001A014E">
        <w:rPr>
          <w:rFonts w:ascii="Arial" w:hAnsi="Arial" w:cs="Arial"/>
          <w:sz w:val="20"/>
          <w:szCs w:val="20"/>
        </w:rPr>
        <w:t>Ainsi dans la mesure où l</w:t>
      </w:r>
      <w:r w:rsidR="004D46DE" w:rsidRPr="001A014E">
        <w:rPr>
          <w:rFonts w:ascii="Arial" w:hAnsi="Arial" w:cs="Arial"/>
          <w:sz w:val="20"/>
          <w:szCs w:val="20"/>
        </w:rPr>
        <w:t>’</w:t>
      </w:r>
      <w:r w:rsidR="00F53787">
        <w:rPr>
          <w:rFonts w:ascii="Arial" w:hAnsi="Arial" w:cs="Arial"/>
          <w:sz w:val="20"/>
          <w:szCs w:val="20"/>
        </w:rPr>
        <w:t>é</w:t>
      </w:r>
      <w:r w:rsidR="004D46DE" w:rsidRPr="001A014E">
        <w:rPr>
          <w:rFonts w:ascii="Arial" w:hAnsi="Arial" w:cs="Arial"/>
          <w:sz w:val="20"/>
          <w:szCs w:val="20"/>
        </w:rPr>
        <w:t xml:space="preserve">tude de </w:t>
      </w:r>
      <w:r w:rsidR="00F53787">
        <w:rPr>
          <w:rFonts w:ascii="Arial" w:hAnsi="Arial" w:cs="Arial"/>
          <w:sz w:val="20"/>
          <w:szCs w:val="20"/>
        </w:rPr>
        <w:t>d</w:t>
      </w:r>
      <w:r w:rsidR="004D46DE" w:rsidRPr="001A014E">
        <w:rPr>
          <w:rFonts w:ascii="Arial" w:hAnsi="Arial" w:cs="Arial"/>
          <w:sz w:val="20"/>
          <w:szCs w:val="20"/>
        </w:rPr>
        <w:t xml:space="preserve">étail </w:t>
      </w:r>
      <w:r w:rsidR="006F0573" w:rsidRPr="001A014E">
        <w:rPr>
          <w:rFonts w:ascii="Arial" w:hAnsi="Arial" w:cs="Arial"/>
          <w:sz w:val="20"/>
          <w:szCs w:val="20"/>
        </w:rPr>
        <w:t xml:space="preserve">réalisée conformément </w:t>
      </w:r>
      <w:r w:rsidR="00DC7C09" w:rsidRPr="001A014E">
        <w:rPr>
          <w:rFonts w:ascii="Arial" w:hAnsi="Arial" w:cs="Arial"/>
          <w:sz w:val="20"/>
          <w:szCs w:val="20"/>
        </w:rPr>
        <w:t>au document</w:t>
      </w:r>
      <w:r w:rsidR="006F0573" w:rsidRPr="001A014E">
        <w:rPr>
          <w:rFonts w:ascii="Arial" w:hAnsi="Arial" w:cs="Arial"/>
          <w:sz w:val="20"/>
          <w:szCs w:val="20"/>
        </w:rPr>
        <w:t xml:space="preserve"> </w:t>
      </w:r>
      <w:r w:rsidR="00DC7C09" w:rsidRPr="001A014E">
        <w:rPr>
          <w:rFonts w:ascii="Arial" w:hAnsi="Arial" w:cs="Arial"/>
          <w:sz w:val="20"/>
          <w:szCs w:val="20"/>
        </w:rPr>
        <w:t xml:space="preserve">« Méthodologie et critères appliqués à l'étude de raccordement » </w:t>
      </w:r>
      <w:r w:rsidR="004D46DE" w:rsidRPr="001A014E">
        <w:rPr>
          <w:rFonts w:ascii="Arial" w:hAnsi="Arial" w:cs="Arial"/>
          <w:sz w:val="20"/>
          <w:szCs w:val="20"/>
        </w:rPr>
        <w:t>a conclu</w:t>
      </w:r>
      <w:r w:rsidR="006F0573" w:rsidRPr="001A014E">
        <w:rPr>
          <w:rFonts w:ascii="Arial" w:hAnsi="Arial" w:cs="Arial"/>
          <w:sz w:val="20"/>
          <w:szCs w:val="20"/>
        </w:rPr>
        <w:t xml:space="preserve"> qu’il n’y a plus de capacité permanente disponi</w:t>
      </w:r>
      <w:r w:rsidR="004C6911" w:rsidRPr="001A014E">
        <w:rPr>
          <w:rFonts w:ascii="Arial" w:hAnsi="Arial" w:cs="Arial"/>
          <w:sz w:val="20"/>
          <w:szCs w:val="20"/>
        </w:rPr>
        <w:t>ble</w:t>
      </w:r>
      <w:r w:rsidR="00B25FBE" w:rsidRPr="001A014E">
        <w:rPr>
          <w:rFonts w:ascii="Arial" w:hAnsi="Arial" w:cs="Arial"/>
          <w:sz w:val="20"/>
          <w:szCs w:val="20"/>
        </w:rPr>
        <w:t xml:space="preserve"> pour le prélèvement</w:t>
      </w:r>
      <w:r w:rsidR="004C6911" w:rsidRPr="001A014E">
        <w:rPr>
          <w:rFonts w:ascii="Arial" w:hAnsi="Arial" w:cs="Arial"/>
          <w:sz w:val="20"/>
          <w:szCs w:val="20"/>
        </w:rPr>
        <w:t xml:space="preserve">, </w:t>
      </w:r>
      <w:r w:rsidR="00AE529E" w:rsidRPr="001A014E">
        <w:rPr>
          <w:rFonts w:ascii="Arial" w:hAnsi="Arial" w:cs="Arial"/>
          <w:sz w:val="20"/>
          <w:szCs w:val="20"/>
        </w:rPr>
        <w:t xml:space="preserve">ce contrat </w:t>
      </w:r>
      <w:r w:rsidR="00524DF9" w:rsidRPr="001A014E">
        <w:rPr>
          <w:rFonts w:ascii="Arial" w:hAnsi="Arial" w:cs="Arial"/>
          <w:sz w:val="20"/>
          <w:szCs w:val="20"/>
        </w:rPr>
        <w:t xml:space="preserve">est </w:t>
      </w:r>
      <w:r w:rsidR="00AA5791" w:rsidRPr="001A014E">
        <w:rPr>
          <w:rFonts w:ascii="Arial" w:hAnsi="Arial" w:cs="Arial"/>
          <w:sz w:val="20"/>
          <w:szCs w:val="20"/>
        </w:rPr>
        <w:t xml:space="preserve">réputé </w:t>
      </w:r>
      <w:r w:rsidR="00524DF9" w:rsidRPr="001A014E">
        <w:rPr>
          <w:rFonts w:ascii="Arial" w:hAnsi="Arial" w:cs="Arial"/>
          <w:sz w:val="20"/>
          <w:szCs w:val="20"/>
        </w:rPr>
        <w:t>conclu dans une</w:t>
      </w:r>
      <w:r w:rsidR="00AA5791" w:rsidRPr="001A014E">
        <w:rPr>
          <w:rFonts w:ascii="Arial" w:hAnsi="Arial" w:cs="Arial"/>
          <w:sz w:val="20"/>
          <w:szCs w:val="20"/>
        </w:rPr>
        <w:t xml:space="preserve"> zone </w:t>
      </w:r>
      <w:r w:rsidR="00043530" w:rsidRPr="001A014E">
        <w:rPr>
          <w:rFonts w:ascii="Arial" w:hAnsi="Arial" w:cs="Arial"/>
          <w:sz w:val="20"/>
          <w:szCs w:val="20"/>
        </w:rPr>
        <w:t>o</w:t>
      </w:r>
      <w:r w:rsidR="00043530">
        <w:rPr>
          <w:rFonts w:ascii="Arial" w:hAnsi="Arial" w:cs="Arial"/>
          <w:sz w:val="20"/>
          <w:szCs w:val="20"/>
        </w:rPr>
        <w:t>ù</w:t>
      </w:r>
      <w:r w:rsidR="00043530" w:rsidRPr="001A014E">
        <w:rPr>
          <w:rFonts w:ascii="Arial" w:hAnsi="Arial" w:cs="Arial"/>
          <w:sz w:val="20"/>
          <w:szCs w:val="20"/>
        </w:rPr>
        <w:t xml:space="preserve"> </w:t>
      </w:r>
      <w:r w:rsidR="00AA5791" w:rsidRPr="001A014E">
        <w:rPr>
          <w:rFonts w:ascii="Arial" w:hAnsi="Arial" w:cs="Arial"/>
          <w:sz w:val="20"/>
          <w:szCs w:val="20"/>
        </w:rPr>
        <w:t>la capacité</w:t>
      </w:r>
      <w:r w:rsidR="009A500B" w:rsidRPr="001A014E">
        <w:rPr>
          <w:rFonts w:ascii="Arial" w:hAnsi="Arial" w:cs="Arial"/>
          <w:sz w:val="20"/>
          <w:szCs w:val="20"/>
        </w:rPr>
        <w:t xml:space="preserve"> du</w:t>
      </w:r>
      <w:r w:rsidR="00AA5791" w:rsidRPr="001A014E">
        <w:rPr>
          <w:rFonts w:ascii="Arial" w:hAnsi="Arial" w:cs="Arial"/>
          <w:sz w:val="20"/>
          <w:szCs w:val="20"/>
        </w:rPr>
        <w:t xml:space="preserve"> réseau est limitée ou inexistante</w:t>
      </w:r>
      <w:r w:rsidR="00EA727E" w:rsidRPr="001A014E">
        <w:rPr>
          <w:rFonts w:ascii="Arial" w:hAnsi="Arial" w:cs="Arial"/>
          <w:sz w:val="20"/>
          <w:szCs w:val="20"/>
        </w:rPr>
        <w:t xml:space="preserve"> au sens </w:t>
      </w:r>
      <w:r w:rsidR="003E360A" w:rsidRPr="001A014E">
        <w:rPr>
          <w:rFonts w:ascii="Arial" w:hAnsi="Arial" w:cs="Arial"/>
          <w:sz w:val="20"/>
          <w:szCs w:val="20"/>
        </w:rPr>
        <w:t>de l’article 26 §2</w:t>
      </w:r>
      <w:r w:rsidR="00955A1B" w:rsidRPr="001A014E">
        <w:rPr>
          <w:rFonts w:ascii="Arial" w:hAnsi="Arial" w:cs="Arial"/>
          <w:sz w:val="20"/>
          <w:szCs w:val="20"/>
        </w:rPr>
        <w:t>octies</w:t>
      </w:r>
      <w:r w:rsidR="00C678E9" w:rsidRPr="001A014E">
        <w:rPr>
          <w:rFonts w:ascii="Arial" w:hAnsi="Arial" w:cs="Arial"/>
          <w:sz w:val="20"/>
          <w:szCs w:val="20"/>
        </w:rPr>
        <w:t xml:space="preserve"> al</w:t>
      </w:r>
      <w:r w:rsidR="00701810" w:rsidRPr="001A014E">
        <w:rPr>
          <w:rFonts w:ascii="Arial" w:hAnsi="Arial" w:cs="Arial"/>
          <w:sz w:val="20"/>
          <w:szCs w:val="20"/>
        </w:rPr>
        <w:t>inéa 1</w:t>
      </w:r>
      <w:r w:rsidR="00AA5791" w:rsidRPr="001A014E">
        <w:rPr>
          <w:rFonts w:ascii="Arial" w:hAnsi="Arial" w:cs="Arial"/>
          <w:sz w:val="20"/>
          <w:szCs w:val="20"/>
        </w:rPr>
        <w:t>.</w:t>
      </w:r>
      <w:r w:rsidR="00771D8A" w:rsidRPr="001A014E">
        <w:rPr>
          <w:rFonts w:ascii="Arial" w:hAnsi="Arial" w:cs="Arial"/>
          <w:sz w:val="20"/>
          <w:szCs w:val="20"/>
        </w:rPr>
        <w:t xml:space="preserve"> </w:t>
      </w:r>
    </w:p>
    <w:p w14:paraId="5CBDC505" w14:textId="77777777" w:rsidR="00B21C1F" w:rsidRDefault="00AA410C" w:rsidP="00FF5987">
      <w:pPr>
        <w:jc w:val="both"/>
        <w:rPr>
          <w:rFonts w:ascii="Arial" w:hAnsi="Arial" w:cs="Arial"/>
          <w:sz w:val="20"/>
          <w:szCs w:val="20"/>
        </w:rPr>
      </w:pPr>
      <w:r w:rsidRPr="00AA410C">
        <w:rPr>
          <w:rFonts w:ascii="Arial" w:hAnsi="Arial" w:cs="Arial"/>
          <w:sz w:val="20"/>
          <w:szCs w:val="20"/>
        </w:rPr>
        <w:t xml:space="preserve">Le </w:t>
      </w:r>
      <w:r w:rsidR="00D7652D" w:rsidRPr="00FE3153">
        <w:rPr>
          <w:rFonts w:ascii="Arial" w:hAnsi="Arial" w:cs="Arial"/>
          <w:sz w:val="20"/>
          <w:szCs w:val="20"/>
        </w:rPr>
        <w:t xml:space="preserve">premier </w:t>
      </w:r>
      <w:r w:rsidRPr="00FE3153">
        <w:rPr>
          <w:rFonts w:ascii="Arial" w:hAnsi="Arial" w:cs="Arial"/>
          <w:sz w:val="20"/>
          <w:szCs w:val="20"/>
        </w:rPr>
        <w:t>tableau ci-dessous</w:t>
      </w:r>
      <w:r w:rsidR="00352B01" w:rsidRPr="00FE3153">
        <w:rPr>
          <w:rFonts w:ascii="Arial" w:hAnsi="Arial" w:cs="Arial"/>
          <w:sz w:val="20"/>
          <w:szCs w:val="20"/>
        </w:rPr>
        <w:t xml:space="preserve"> </w:t>
      </w:r>
      <w:r w:rsidR="0095412B" w:rsidRPr="00FE3153">
        <w:rPr>
          <w:rFonts w:ascii="Arial" w:hAnsi="Arial" w:cs="Arial"/>
          <w:sz w:val="20"/>
          <w:szCs w:val="20"/>
        </w:rPr>
        <w:t>résulte de l’étude de détail et reprend</w:t>
      </w:r>
      <w:r w:rsidR="0095412B" w:rsidRPr="00FE3153" w:rsidDel="0095412B">
        <w:rPr>
          <w:rFonts w:ascii="Arial" w:hAnsi="Arial" w:cs="Arial"/>
          <w:sz w:val="20"/>
          <w:szCs w:val="20"/>
        </w:rPr>
        <w:t xml:space="preserve"> </w:t>
      </w:r>
      <w:r w:rsidR="00426056" w:rsidRPr="00FE3153">
        <w:rPr>
          <w:rFonts w:ascii="Arial" w:hAnsi="Arial" w:cs="Arial"/>
          <w:sz w:val="20"/>
          <w:szCs w:val="20"/>
        </w:rPr>
        <w:t>les con</w:t>
      </w:r>
      <w:r w:rsidR="00BC7C08" w:rsidRPr="00FE3153">
        <w:rPr>
          <w:rFonts w:ascii="Arial" w:hAnsi="Arial" w:cs="Arial"/>
          <w:sz w:val="20"/>
          <w:szCs w:val="20"/>
        </w:rPr>
        <w:t xml:space="preserve">ditions de limitations </w:t>
      </w:r>
      <w:r w:rsidR="00916517" w:rsidRPr="00FE3153">
        <w:rPr>
          <w:rFonts w:ascii="Arial" w:hAnsi="Arial" w:cs="Arial"/>
          <w:sz w:val="20"/>
          <w:szCs w:val="20"/>
        </w:rPr>
        <w:t>de la capacité disponible</w:t>
      </w:r>
      <w:r w:rsidR="00532F8F" w:rsidRPr="00FE3153">
        <w:rPr>
          <w:rFonts w:ascii="Arial" w:hAnsi="Arial" w:cs="Arial"/>
          <w:sz w:val="20"/>
          <w:szCs w:val="20"/>
        </w:rPr>
        <w:t xml:space="preserve">, en termes de </w:t>
      </w:r>
      <w:r w:rsidR="0057628C" w:rsidRPr="00FE3153">
        <w:rPr>
          <w:rFonts w:ascii="Arial" w:hAnsi="Arial" w:cs="Arial"/>
          <w:sz w:val="20"/>
          <w:szCs w:val="20"/>
        </w:rPr>
        <w:t>puissance</w:t>
      </w:r>
      <w:r w:rsidR="00532F8F" w:rsidRPr="00FE3153">
        <w:rPr>
          <w:rFonts w:ascii="Arial" w:hAnsi="Arial" w:cs="Arial"/>
          <w:sz w:val="20"/>
          <w:szCs w:val="20"/>
        </w:rPr>
        <w:t>, de durée et d’énergie</w:t>
      </w:r>
      <w:r w:rsidR="001F0400" w:rsidRPr="00FE3153">
        <w:rPr>
          <w:rFonts w:ascii="Arial" w:hAnsi="Arial" w:cs="Arial"/>
          <w:sz w:val="20"/>
          <w:szCs w:val="20"/>
        </w:rPr>
        <w:t xml:space="preserve"> durant la période temporaire</w:t>
      </w:r>
      <w:r w:rsidR="00532F8F" w:rsidRPr="00FE3153">
        <w:rPr>
          <w:rFonts w:ascii="Arial" w:hAnsi="Arial" w:cs="Arial"/>
          <w:sz w:val="20"/>
          <w:szCs w:val="20"/>
        </w:rPr>
        <w:t>.</w:t>
      </w:r>
      <w:r w:rsidR="00426056" w:rsidRPr="00FE3153">
        <w:rPr>
          <w:rFonts w:ascii="Arial" w:hAnsi="Arial" w:cs="Arial"/>
          <w:sz w:val="20"/>
          <w:szCs w:val="20"/>
        </w:rPr>
        <w:t xml:space="preserve"> </w:t>
      </w:r>
    </w:p>
    <w:p w14:paraId="29976A0C" w14:textId="234927DA" w:rsidR="00FF5987" w:rsidRDefault="00532F8F" w:rsidP="00FF5987">
      <w:pPr>
        <w:jc w:val="both"/>
        <w:rPr>
          <w:rFonts w:ascii="Arial" w:hAnsi="Arial" w:cs="Arial"/>
          <w:sz w:val="20"/>
          <w:szCs w:val="20"/>
        </w:rPr>
      </w:pPr>
      <w:r w:rsidRPr="00FE3153">
        <w:rPr>
          <w:rFonts w:ascii="Arial" w:hAnsi="Arial" w:cs="Arial"/>
          <w:sz w:val="20"/>
          <w:szCs w:val="20"/>
        </w:rPr>
        <w:t>C</w:t>
      </w:r>
      <w:r w:rsidR="00AA410C" w:rsidRPr="00FE3153">
        <w:rPr>
          <w:rFonts w:ascii="Arial" w:hAnsi="Arial" w:cs="Arial"/>
          <w:sz w:val="20"/>
          <w:szCs w:val="20"/>
        </w:rPr>
        <w:t>es limites</w:t>
      </w:r>
      <w:r w:rsidRPr="00FE3153">
        <w:rPr>
          <w:rFonts w:ascii="Arial" w:hAnsi="Arial" w:cs="Arial"/>
          <w:sz w:val="20"/>
          <w:szCs w:val="20"/>
        </w:rPr>
        <w:t xml:space="preserve"> sont déterminées</w:t>
      </w:r>
      <w:r w:rsidR="00AA410C" w:rsidRPr="00FE3153">
        <w:rPr>
          <w:rFonts w:ascii="Arial" w:hAnsi="Arial" w:cs="Arial"/>
          <w:sz w:val="20"/>
          <w:szCs w:val="20"/>
        </w:rPr>
        <w:t xml:space="preserve"> par point d’accès et par </w:t>
      </w:r>
      <w:r w:rsidR="00FA2F22" w:rsidRPr="00FE3153">
        <w:rPr>
          <w:rFonts w:ascii="Arial" w:hAnsi="Arial" w:cs="Arial"/>
          <w:sz w:val="20"/>
          <w:szCs w:val="20"/>
        </w:rPr>
        <w:t>phase</w:t>
      </w:r>
      <w:r w:rsidR="0089005E" w:rsidRPr="00FE3153">
        <w:rPr>
          <w:rStyle w:val="Appelnotedebasdep"/>
          <w:rFonts w:ascii="Arial" w:hAnsi="Arial" w:cs="Arial"/>
          <w:sz w:val="20"/>
          <w:szCs w:val="20"/>
        </w:rPr>
        <w:footnoteReference w:id="3"/>
      </w:r>
      <w:r w:rsidR="00A14C35" w:rsidRPr="2333D0AD">
        <w:rPr>
          <w:rFonts w:ascii="Arial" w:hAnsi="Arial" w:cs="Arial"/>
          <w:sz w:val="20"/>
          <w:szCs w:val="20"/>
        </w:rPr>
        <w:t>.</w:t>
      </w:r>
      <w:r w:rsidR="0081717D" w:rsidRPr="2333D0AD">
        <w:rPr>
          <w:rFonts w:ascii="Arial" w:hAnsi="Arial" w:cs="Arial"/>
          <w:sz w:val="20"/>
          <w:szCs w:val="20"/>
        </w:rPr>
        <w:t xml:space="preserve"> </w:t>
      </w:r>
      <w:r w:rsidR="00A401D7" w:rsidRPr="002E0C68">
        <w:rPr>
          <w:rFonts w:ascii="Arial" w:hAnsi="Arial" w:cs="Arial"/>
          <w:sz w:val="20"/>
          <w:szCs w:val="20"/>
        </w:rPr>
        <w:t>Pour les</w:t>
      </w:r>
      <w:r w:rsidR="00A401D7">
        <w:rPr>
          <w:rFonts w:ascii="Arial" w:hAnsi="Arial" w:cs="Arial"/>
          <w:sz w:val="20"/>
          <w:szCs w:val="20"/>
        </w:rPr>
        <w:t xml:space="preserve"> I</w:t>
      </w:r>
      <w:r w:rsidR="00A401D7" w:rsidRPr="002E0C68">
        <w:rPr>
          <w:rFonts w:ascii="Arial" w:hAnsi="Arial" w:cs="Arial"/>
          <w:sz w:val="20"/>
          <w:szCs w:val="20"/>
        </w:rPr>
        <w:t xml:space="preserve">nstallations de </w:t>
      </w:r>
      <w:r w:rsidR="00A401D7">
        <w:rPr>
          <w:rFonts w:ascii="Arial" w:hAnsi="Arial" w:cs="Arial"/>
          <w:sz w:val="20"/>
          <w:szCs w:val="20"/>
        </w:rPr>
        <w:t>P</w:t>
      </w:r>
      <w:r w:rsidR="00A401D7" w:rsidRPr="002E0C68">
        <w:rPr>
          <w:rFonts w:ascii="Arial" w:hAnsi="Arial" w:cs="Arial"/>
          <w:sz w:val="20"/>
          <w:szCs w:val="20"/>
        </w:rPr>
        <w:t xml:space="preserve">rélèvement, à l’exclusion des </w:t>
      </w:r>
      <w:r w:rsidR="00A401D7">
        <w:rPr>
          <w:rFonts w:ascii="Arial" w:hAnsi="Arial" w:cs="Arial"/>
          <w:sz w:val="20"/>
          <w:szCs w:val="20"/>
        </w:rPr>
        <w:t>U</w:t>
      </w:r>
      <w:r w:rsidR="00A401D7" w:rsidRPr="002E0C68">
        <w:rPr>
          <w:rFonts w:ascii="Arial" w:hAnsi="Arial" w:cs="Arial"/>
          <w:sz w:val="20"/>
          <w:szCs w:val="20"/>
        </w:rPr>
        <w:t xml:space="preserve">nités de </w:t>
      </w:r>
      <w:r w:rsidR="00A401D7">
        <w:rPr>
          <w:rFonts w:ascii="Arial" w:hAnsi="Arial" w:cs="Arial"/>
          <w:sz w:val="20"/>
          <w:szCs w:val="20"/>
        </w:rPr>
        <w:t>S</w:t>
      </w:r>
      <w:r w:rsidR="00A401D7" w:rsidRPr="002E0C68">
        <w:rPr>
          <w:rFonts w:ascii="Arial" w:hAnsi="Arial" w:cs="Arial"/>
          <w:sz w:val="20"/>
          <w:szCs w:val="20"/>
        </w:rPr>
        <w:t>tockage</w:t>
      </w:r>
      <w:r w:rsidR="00A401D7">
        <w:rPr>
          <w:rFonts w:ascii="Arial" w:hAnsi="Arial" w:cs="Arial"/>
          <w:sz w:val="20"/>
          <w:szCs w:val="20"/>
        </w:rPr>
        <w:t xml:space="preserve"> d’Electricité, </w:t>
      </w:r>
      <w:r w:rsidR="00A401D7" w:rsidRPr="00C36091">
        <w:rPr>
          <w:rFonts w:ascii="Arial" w:hAnsi="Arial" w:cs="Arial"/>
          <w:sz w:val="20"/>
          <w:szCs w:val="20"/>
        </w:rPr>
        <w:t>l</w:t>
      </w:r>
      <w:r w:rsidR="00FF5987" w:rsidRPr="00C36091">
        <w:rPr>
          <w:rFonts w:ascii="Arial" w:hAnsi="Arial" w:cs="Arial"/>
          <w:sz w:val="20"/>
          <w:szCs w:val="20"/>
        </w:rPr>
        <w:t>a durée de la période temporaire correspond à la durée cumulée des différentes phases reprises au tableau ci</w:t>
      </w:r>
      <w:r w:rsidR="00FF5987" w:rsidRPr="00C36091">
        <w:noBreakHyphen/>
      </w:r>
      <w:r w:rsidR="00FF5987" w:rsidRPr="00C36091">
        <w:rPr>
          <w:rFonts w:ascii="Arial" w:hAnsi="Arial" w:cs="Arial"/>
          <w:sz w:val="20"/>
          <w:szCs w:val="20"/>
        </w:rPr>
        <w:t>dessous</w:t>
      </w:r>
      <w:r w:rsidR="00F16BA0" w:rsidRPr="00C36091">
        <w:rPr>
          <w:rFonts w:ascii="Arial" w:hAnsi="Arial" w:cs="Arial"/>
          <w:sz w:val="20"/>
          <w:szCs w:val="20"/>
        </w:rPr>
        <w:t>. El</w:t>
      </w:r>
      <w:r w:rsidR="00716FF0" w:rsidRPr="00C36091">
        <w:rPr>
          <w:rFonts w:ascii="Arial" w:hAnsi="Arial" w:cs="Arial"/>
          <w:sz w:val="20"/>
          <w:szCs w:val="20"/>
        </w:rPr>
        <w:t>le</w:t>
      </w:r>
      <w:r w:rsidR="0040421C" w:rsidRPr="00C36091">
        <w:rPr>
          <w:rFonts w:ascii="Arial" w:hAnsi="Arial" w:cs="Arial"/>
          <w:sz w:val="20"/>
          <w:szCs w:val="20"/>
        </w:rPr>
        <w:t xml:space="preserve"> est</w:t>
      </w:r>
      <w:r w:rsidR="000C6249" w:rsidRPr="00C36091">
        <w:rPr>
          <w:rFonts w:ascii="Arial" w:hAnsi="Arial" w:cs="Arial"/>
          <w:sz w:val="20"/>
          <w:szCs w:val="20"/>
        </w:rPr>
        <w:t xml:space="preserve"> basée sur la date estimée de réalisation d’un </w:t>
      </w:r>
      <w:r w:rsidR="001264D2" w:rsidRPr="00C36091">
        <w:rPr>
          <w:rFonts w:ascii="Arial" w:hAnsi="Arial" w:cs="Arial"/>
          <w:sz w:val="20"/>
          <w:szCs w:val="20"/>
        </w:rPr>
        <w:t>ou plusieurs</w:t>
      </w:r>
      <w:r w:rsidR="000C6249" w:rsidRPr="00C36091">
        <w:rPr>
          <w:rFonts w:ascii="Arial" w:hAnsi="Arial" w:cs="Arial"/>
          <w:sz w:val="20"/>
          <w:szCs w:val="20"/>
        </w:rPr>
        <w:t xml:space="preserve"> </w:t>
      </w:r>
      <w:r w:rsidR="002C357F" w:rsidRPr="00C36091">
        <w:rPr>
          <w:rFonts w:ascii="Arial" w:hAnsi="Arial" w:cs="Arial"/>
          <w:sz w:val="20"/>
          <w:szCs w:val="20"/>
        </w:rPr>
        <w:t>projet</w:t>
      </w:r>
      <w:r w:rsidR="001264D2" w:rsidRPr="00C36091">
        <w:rPr>
          <w:rFonts w:ascii="Arial" w:hAnsi="Arial" w:cs="Arial"/>
          <w:sz w:val="20"/>
          <w:szCs w:val="20"/>
        </w:rPr>
        <w:t>(s)</w:t>
      </w:r>
      <w:r w:rsidR="002C357F" w:rsidRPr="00C36091">
        <w:rPr>
          <w:rFonts w:ascii="Arial" w:hAnsi="Arial" w:cs="Arial"/>
          <w:sz w:val="20"/>
          <w:szCs w:val="20"/>
        </w:rPr>
        <w:t xml:space="preserve"> d’investissement visant à lever totalement les conditions de raccordement flexible</w:t>
      </w:r>
      <w:r w:rsidR="00C230E1" w:rsidRPr="00C36091">
        <w:rPr>
          <w:rFonts w:ascii="Arial" w:hAnsi="Arial" w:cs="Arial"/>
          <w:sz w:val="20"/>
          <w:szCs w:val="20"/>
        </w:rPr>
        <w:t>.</w:t>
      </w:r>
      <w:r w:rsidR="002C357F" w:rsidRPr="00C36091">
        <w:rPr>
          <w:rFonts w:ascii="Arial" w:hAnsi="Arial" w:cs="Arial"/>
          <w:sz w:val="20"/>
          <w:szCs w:val="20"/>
        </w:rPr>
        <w:t xml:space="preserve"> </w:t>
      </w:r>
      <w:r w:rsidR="00FF5987" w:rsidRPr="00C36091">
        <w:rPr>
          <w:rFonts w:ascii="Arial" w:hAnsi="Arial" w:cs="Arial"/>
          <w:sz w:val="20"/>
          <w:szCs w:val="20"/>
        </w:rPr>
        <w:t>Lorsque, au moment de</w:t>
      </w:r>
      <w:r w:rsidR="009E2F4A" w:rsidRPr="00C36091">
        <w:rPr>
          <w:rFonts w:ascii="Arial" w:hAnsi="Arial" w:cs="Arial"/>
          <w:sz w:val="20"/>
          <w:szCs w:val="20"/>
        </w:rPr>
        <w:t xml:space="preserve"> la livraison de l’étude de détail</w:t>
      </w:r>
      <w:r w:rsidR="00FF5987" w:rsidRPr="00C36091">
        <w:rPr>
          <w:rFonts w:ascii="Arial" w:hAnsi="Arial" w:cs="Arial"/>
          <w:sz w:val="20"/>
          <w:szCs w:val="20"/>
        </w:rPr>
        <w:t>, un</w:t>
      </w:r>
      <w:r w:rsidR="002C357F" w:rsidRPr="00C36091">
        <w:rPr>
          <w:rFonts w:ascii="Arial" w:hAnsi="Arial" w:cs="Arial"/>
          <w:sz w:val="20"/>
          <w:szCs w:val="20"/>
        </w:rPr>
        <w:t xml:space="preserve"> tel projet n’</w:t>
      </w:r>
      <w:r w:rsidR="00FF5987" w:rsidRPr="00C36091">
        <w:rPr>
          <w:rFonts w:ascii="Arial" w:hAnsi="Arial" w:cs="Arial"/>
          <w:sz w:val="20"/>
          <w:szCs w:val="20"/>
        </w:rPr>
        <w:t>est</w:t>
      </w:r>
      <w:r w:rsidR="002C357F" w:rsidRPr="00C36091">
        <w:rPr>
          <w:rFonts w:ascii="Arial" w:hAnsi="Arial" w:cs="Arial"/>
          <w:sz w:val="20"/>
          <w:szCs w:val="20"/>
        </w:rPr>
        <w:t xml:space="preserve"> pas</w:t>
      </w:r>
      <w:r w:rsidR="00FF5987" w:rsidRPr="00C36091">
        <w:rPr>
          <w:rFonts w:ascii="Arial" w:hAnsi="Arial" w:cs="Arial"/>
          <w:sz w:val="20"/>
          <w:szCs w:val="20"/>
        </w:rPr>
        <w:t xml:space="preserve"> identifié</w:t>
      </w:r>
      <w:r w:rsidR="009C6979" w:rsidRPr="00C36091">
        <w:rPr>
          <w:rFonts w:ascii="Arial" w:hAnsi="Arial" w:cs="Arial"/>
          <w:sz w:val="20"/>
          <w:szCs w:val="20"/>
        </w:rPr>
        <w:t>, cette durée</w:t>
      </w:r>
      <w:r w:rsidR="00FE3153" w:rsidRPr="00C36091">
        <w:rPr>
          <w:rFonts w:ascii="Arial" w:hAnsi="Arial" w:cs="Arial"/>
          <w:sz w:val="20"/>
          <w:szCs w:val="20"/>
        </w:rPr>
        <w:t xml:space="preserve"> totale</w:t>
      </w:r>
      <w:r w:rsidR="009C6979" w:rsidRPr="00C36091">
        <w:rPr>
          <w:rFonts w:ascii="Arial" w:hAnsi="Arial" w:cs="Arial"/>
          <w:sz w:val="20"/>
          <w:szCs w:val="20"/>
        </w:rPr>
        <w:t xml:space="preserve"> est une durée standard fixée par Elia</w:t>
      </w:r>
      <w:r w:rsidR="00DF21CC" w:rsidRPr="00C36091">
        <w:rPr>
          <w:rFonts w:ascii="Arial" w:hAnsi="Arial" w:cs="Arial"/>
          <w:sz w:val="20"/>
          <w:szCs w:val="20"/>
        </w:rPr>
        <w:t xml:space="preserve"> en accord avec la CWaPE</w:t>
      </w:r>
      <w:r w:rsidR="009C6979" w:rsidRPr="00C36091">
        <w:rPr>
          <w:rFonts w:ascii="Arial" w:hAnsi="Arial" w:cs="Arial"/>
          <w:sz w:val="20"/>
          <w:szCs w:val="20"/>
        </w:rPr>
        <w:t>, notamment sur base du niveau de tension de l'</w:t>
      </w:r>
      <w:r w:rsidR="00FA2100" w:rsidRPr="00C36091">
        <w:rPr>
          <w:rFonts w:ascii="Arial" w:hAnsi="Arial" w:cs="Arial"/>
          <w:sz w:val="20"/>
          <w:szCs w:val="20"/>
        </w:rPr>
        <w:t xml:space="preserve">(des) </w:t>
      </w:r>
      <w:r w:rsidR="009C6979" w:rsidRPr="00C36091">
        <w:rPr>
          <w:rFonts w:ascii="Arial" w:hAnsi="Arial" w:cs="Arial"/>
          <w:sz w:val="20"/>
          <w:szCs w:val="20"/>
        </w:rPr>
        <w:t>élément</w:t>
      </w:r>
      <w:r w:rsidR="00FA2100" w:rsidRPr="00C36091">
        <w:rPr>
          <w:rFonts w:ascii="Arial" w:hAnsi="Arial" w:cs="Arial"/>
          <w:sz w:val="20"/>
          <w:szCs w:val="20"/>
        </w:rPr>
        <w:t>(s)</w:t>
      </w:r>
      <w:r w:rsidR="009C6979" w:rsidRPr="00C36091">
        <w:rPr>
          <w:rFonts w:ascii="Arial" w:hAnsi="Arial" w:cs="Arial"/>
          <w:sz w:val="20"/>
          <w:szCs w:val="20"/>
        </w:rPr>
        <w:t xml:space="preserve"> de réseau </w:t>
      </w:r>
      <w:r w:rsidR="00EA0C25" w:rsidRPr="00C36091">
        <w:rPr>
          <w:rFonts w:ascii="Arial" w:hAnsi="Arial" w:cs="Arial"/>
          <w:sz w:val="20"/>
          <w:szCs w:val="20"/>
        </w:rPr>
        <w:t xml:space="preserve">nécessitant un </w:t>
      </w:r>
      <w:r w:rsidR="009C6979" w:rsidRPr="00C36091">
        <w:rPr>
          <w:rFonts w:ascii="Arial" w:hAnsi="Arial" w:cs="Arial"/>
          <w:sz w:val="20"/>
          <w:szCs w:val="20"/>
        </w:rPr>
        <w:t>renforcement.</w:t>
      </w:r>
      <w:r w:rsidR="00716FF0" w:rsidRPr="00C36091">
        <w:rPr>
          <w:rFonts w:ascii="Arial" w:hAnsi="Arial" w:cs="Arial"/>
          <w:sz w:val="20"/>
          <w:szCs w:val="20"/>
        </w:rPr>
        <w:t xml:space="preserve"> </w:t>
      </w:r>
      <w:r w:rsidR="001F4D1E" w:rsidRPr="00C36091">
        <w:rPr>
          <w:rFonts w:ascii="Arial" w:hAnsi="Arial" w:cs="Arial"/>
          <w:sz w:val="20"/>
          <w:szCs w:val="20"/>
        </w:rPr>
        <w:t xml:space="preserve">Au terme de la </w:t>
      </w:r>
      <w:r w:rsidR="000F09EA" w:rsidRPr="00C36091">
        <w:rPr>
          <w:rFonts w:ascii="Arial" w:hAnsi="Arial" w:cs="Arial"/>
          <w:sz w:val="20"/>
          <w:szCs w:val="20"/>
        </w:rPr>
        <w:t>période</w:t>
      </w:r>
      <w:r w:rsidR="001F4D1E" w:rsidRPr="00C36091">
        <w:rPr>
          <w:rFonts w:ascii="Arial" w:hAnsi="Arial" w:cs="Arial"/>
          <w:sz w:val="20"/>
          <w:szCs w:val="20"/>
        </w:rPr>
        <w:t xml:space="preserve"> temporaire </w:t>
      </w:r>
      <w:r w:rsidR="142D5459" w:rsidRPr="00C36091">
        <w:rPr>
          <w:rFonts w:ascii="Arial" w:hAnsi="Arial" w:cs="Arial"/>
          <w:sz w:val="20"/>
          <w:szCs w:val="20"/>
        </w:rPr>
        <w:t>la valeur du paramètre “</w:t>
      </w:r>
      <w:r w:rsidR="000F09EA" w:rsidRPr="00C36091">
        <w:rPr>
          <w:rFonts w:ascii="Arial" w:hAnsi="Arial" w:cs="Arial"/>
          <w:sz w:val="20"/>
          <w:szCs w:val="20"/>
        </w:rPr>
        <w:t>capacité de raccordement flexible</w:t>
      </w:r>
      <w:r w:rsidR="0BCAA5B5" w:rsidRPr="00C36091">
        <w:rPr>
          <w:rFonts w:ascii="Arial" w:hAnsi="Arial" w:cs="Arial"/>
          <w:sz w:val="20"/>
          <w:szCs w:val="20"/>
        </w:rPr>
        <w:t>” reprise dans le tableau ci-dessous</w:t>
      </w:r>
      <w:r w:rsidR="000F09EA" w:rsidRPr="00C36091">
        <w:rPr>
          <w:rFonts w:ascii="Arial" w:hAnsi="Arial" w:cs="Arial"/>
          <w:sz w:val="20"/>
          <w:szCs w:val="20"/>
        </w:rPr>
        <w:t xml:space="preserve"> passe à 0</w:t>
      </w:r>
      <w:r w:rsidR="002A791E" w:rsidRPr="00C36091">
        <w:rPr>
          <w:rFonts w:ascii="Arial" w:hAnsi="Arial" w:cs="Arial"/>
          <w:sz w:val="20"/>
          <w:szCs w:val="20"/>
        </w:rPr>
        <w:t xml:space="preserve"> </w:t>
      </w:r>
      <w:r w:rsidR="000F09EA" w:rsidRPr="00C36091">
        <w:rPr>
          <w:rFonts w:ascii="Arial" w:hAnsi="Arial" w:cs="Arial"/>
          <w:sz w:val="20"/>
          <w:szCs w:val="20"/>
        </w:rPr>
        <w:t>MW.</w:t>
      </w:r>
      <w:r w:rsidR="001F4D1E" w:rsidRPr="2333D0AD">
        <w:rPr>
          <w:rFonts w:ascii="Arial" w:hAnsi="Arial" w:cs="Arial"/>
          <w:sz w:val="20"/>
          <w:szCs w:val="20"/>
        </w:rPr>
        <w:t xml:space="preserve"> </w:t>
      </w:r>
    </w:p>
    <w:p w14:paraId="16BE724A" w14:textId="488AA94A" w:rsidR="004E4F51" w:rsidRDefault="004E4F51" w:rsidP="00FF5987">
      <w:pPr>
        <w:jc w:val="both"/>
        <w:rPr>
          <w:rFonts w:ascii="Arial" w:hAnsi="Arial" w:cs="Arial"/>
          <w:sz w:val="20"/>
          <w:szCs w:val="20"/>
        </w:rPr>
      </w:pPr>
      <w:r>
        <w:rPr>
          <w:rFonts w:ascii="Arial" w:hAnsi="Arial" w:cs="Arial"/>
          <w:sz w:val="20"/>
          <w:szCs w:val="20"/>
        </w:rPr>
        <w:t xml:space="preserve">Comme indiqué dans le tableau ci-dessous, la période temporaire </w:t>
      </w:r>
      <w:r w:rsidR="009A3E40">
        <w:rPr>
          <w:rFonts w:ascii="Arial" w:hAnsi="Arial" w:cs="Arial"/>
          <w:sz w:val="20"/>
          <w:szCs w:val="20"/>
        </w:rPr>
        <w:t xml:space="preserve">pour les </w:t>
      </w:r>
      <w:r w:rsidR="006A0C47">
        <w:rPr>
          <w:rFonts w:ascii="Arial" w:hAnsi="Arial" w:cs="Arial"/>
          <w:sz w:val="20"/>
          <w:szCs w:val="20"/>
        </w:rPr>
        <w:t>I</w:t>
      </w:r>
      <w:r w:rsidR="006A0C47" w:rsidRPr="002E0C68">
        <w:rPr>
          <w:rFonts w:ascii="Arial" w:hAnsi="Arial" w:cs="Arial"/>
          <w:sz w:val="20"/>
          <w:szCs w:val="20"/>
        </w:rPr>
        <w:t xml:space="preserve">nstallations de </w:t>
      </w:r>
      <w:r w:rsidR="006A0C47">
        <w:rPr>
          <w:rFonts w:ascii="Arial" w:hAnsi="Arial" w:cs="Arial"/>
          <w:sz w:val="20"/>
          <w:szCs w:val="20"/>
        </w:rPr>
        <w:t>P</w:t>
      </w:r>
      <w:r w:rsidR="006A0C47" w:rsidRPr="002E0C68">
        <w:rPr>
          <w:rFonts w:ascii="Arial" w:hAnsi="Arial" w:cs="Arial"/>
          <w:sz w:val="20"/>
          <w:szCs w:val="20"/>
        </w:rPr>
        <w:t xml:space="preserve">rélèvement, à l’exclusion des </w:t>
      </w:r>
      <w:r w:rsidR="006A0C47">
        <w:rPr>
          <w:rFonts w:ascii="Arial" w:hAnsi="Arial" w:cs="Arial"/>
          <w:sz w:val="20"/>
          <w:szCs w:val="20"/>
        </w:rPr>
        <w:t>U</w:t>
      </w:r>
      <w:r w:rsidR="006A0C47" w:rsidRPr="002E0C68">
        <w:rPr>
          <w:rFonts w:ascii="Arial" w:hAnsi="Arial" w:cs="Arial"/>
          <w:sz w:val="20"/>
          <w:szCs w:val="20"/>
        </w:rPr>
        <w:t xml:space="preserve">nités de </w:t>
      </w:r>
      <w:r w:rsidR="006A0C47">
        <w:rPr>
          <w:rFonts w:ascii="Arial" w:hAnsi="Arial" w:cs="Arial"/>
          <w:sz w:val="20"/>
          <w:szCs w:val="20"/>
        </w:rPr>
        <w:t>S</w:t>
      </w:r>
      <w:r w:rsidR="006A0C47" w:rsidRPr="002E0C68">
        <w:rPr>
          <w:rFonts w:ascii="Arial" w:hAnsi="Arial" w:cs="Arial"/>
          <w:sz w:val="20"/>
          <w:szCs w:val="20"/>
        </w:rPr>
        <w:t>tockage</w:t>
      </w:r>
      <w:r w:rsidR="006A0C47">
        <w:rPr>
          <w:rFonts w:ascii="Arial" w:hAnsi="Arial" w:cs="Arial"/>
          <w:sz w:val="20"/>
          <w:szCs w:val="20"/>
        </w:rPr>
        <w:t xml:space="preserve"> d’Electricité</w:t>
      </w:r>
      <w:r w:rsidR="00D45426">
        <w:rPr>
          <w:rFonts w:ascii="Arial" w:hAnsi="Arial" w:cs="Arial"/>
          <w:sz w:val="20"/>
          <w:szCs w:val="20"/>
        </w:rPr>
        <w:t>,</w:t>
      </w:r>
      <w:r w:rsidR="006A0C47" w:rsidDel="006A0C47">
        <w:rPr>
          <w:rFonts w:ascii="Arial" w:hAnsi="Arial" w:cs="Arial"/>
          <w:sz w:val="20"/>
          <w:szCs w:val="20"/>
        </w:rPr>
        <w:t xml:space="preserve"> </w:t>
      </w:r>
      <w:r>
        <w:rPr>
          <w:rFonts w:ascii="Arial" w:hAnsi="Arial" w:cs="Arial"/>
          <w:sz w:val="20"/>
          <w:szCs w:val="20"/>
        </w:rPr>
        <w:t>s’étend du XX/XX/XXXX au XX/XX/XXXX</w:t>
      </w:r>
      <w:r w:rsidR="00144B72">
        <w:rPr>
          <w:rFonts w:ascii="Arial" w:hAnsi="Arial" w:cs="Arial"/>
          <w:sz w:val="20"/>
          <w:szCs w:val="20"/>
        </w:rPr>
        <w:t>.</w:t>
      </w:r>
    </w:p>
    <w:p w14:paraId="33FA4193" w14:textId="71FF2FE9" w:rsidR="00A14F69" w:rsidRDefault="00A14F69" w:rsidP="00FF5987">
      <w:pPr>
        <w:jc w:val="both"/>
        <w:rPr>
          <w:rFonts w:ascii="Arial" w:hAnsi="Arial" w:cs="Arial"/>
          <w:sz w:val="20"/>
          <w:szCs w:val="20"/>
        </w:rPr>
      </w:pPr>
      <w:r w:rsidDel="008A2F9D">
        <w:rPr>
          <w:rFonts w:ascii="Arial" w:hAnsi="Arial" w:cs="Arial"/>
          <w:sz w:val="20"/>
          <w:szCs w:val="20"/>
        </w:rPr>
        <w:t>P</w:t>
      </w:r>
      <w:r w:rsidRPr="00F914D1" w:rsidDel="008A2F9D">
        <w:rPr>
          <w:rFonts w:ascii="Arial" w:hAnsi="Arial" w:cs="Arial"/>
          <w:sz w:val="20"/>
          <w:szCs w:val="20"/>
        </w:rPr>
        <w:t>our les Unités de Stockage d’Électricité visées par la présente annexe</w:t>
      </w:r>
      <w:r w:rsidDel="008A2F9D">
        <w:rPr>
          <w:rFonts w:ascii="Arial" w:hAnsi="Arial" w:cs="Arial"/>
          <w:sz w:val="20"/>
          <w:szCs w:val="20"/>
        </w:rPr>
        <w:t xml:space="preserve"> et conformément au Décret wallon, le nombre maximal annuel de quarts d’heure est défini</w:t>
      </w:r>
      <w:r w:rsidRPr="00F914D1" w:rsidDel="008A2F9D">
        <w:rPr>
          <w:rFonts w:ascii="Arial" w:hAnsi="Arial" w:cs="Arial"/>
          <w:sz w:val="20"/>
          <w:szCs w:val="20"/>
        </w:rPr>
        <w:t xml:space="preserve">, </w:t>
      </w:r>
      <w:r w:rsidDel="008A2F9D">
        <w:rPr>
          <w:rFonts w:ascii="Arial" w:hAnsi="Arial" w:cs="Arial"/>
          <w:sz w:val="20"/>
          <w:szCs w:val="20"/>
        </w:rPr>
        <w:t>sur la base de l’étude de détail, pour les vingt-quatre premiers mois ainsi que pour les trente-six mois suivants, c</w:t>
      </w:r>
      <w:r w:rsidRPr="003D6870" w:rsidDel="008A2F9D">
        <w:rPr>
          <w:rFonts w:ascii="Arial" w:hAnsi="Arial" w:cs="Arial"/>
          <w:sz w:val="20"/>
          <w:szCs w:val="20"/>
        </w:rPr>
        <w:t xml:space="preserve">es périodes courant à partir de la date de mise en service estimée par l’Utilisateur du Réseau et retenue dans le cadre de ladite étude de détail. </w:t>
      </w:r>
      <w:r w:rsidDel="008A2F9D">
        <w:rPr>
          <w:rFonts w:ascii="Arial" w:hAnsi="Arial" w:cs="Arial"/>
          <w:sz w:val="20"/>
          <w:szCs w:val="20"/>
        </w:rPr>
        <w:t xml:space="preserve">Une mise à jour annuelle est ensuite réalisée afin de déterminer le nombre maximal de quarts d’heure </w:t>
      </w:r>
      <w:r w:rsidRPr="00C91E45" w:rsidDel="008A2F9D">
        <w:rPr>
          <w:rFonts w:ascii="Arial" w:hAnsi="Arial" w:cs="Arial"/>
          <w:sz w:val="20"/>
          <w:szCs w:val="20"/>
        </w:rPr>
        <w:t>durant lesquels l'</w:t>
      </w:r>
      <w:r w:rsidDel="008A2F9D">
        <w:rPr>
          <w:rFonts w:ascii="Arial" w:hAnsi="Arial" w:cs="Arial"/>
          <w:sz w:val="20"/>
          <w:szCs w:val="20"/>
        </w:rPr>
        <w:t>U</w:t>
      </w:r>
      <w:r w:rsidRPr="00C91E45" w:rsidDel="008A2F9D">
        <w:rPr>
          <w:rFonts w:ascii="Arial" w:hAnsi="Arial" w:cs="Arial"/>
          <w:sz w:val="20"/>
          <w:szCs w:val="20"/>
        </w:rPr>
        <w:t>nité pourra être soumise à des limitations du prélèvement d'électricité à partir du réseau</w:t>
      </w:r>
      <w:r w:rsidDel="008A2F9D">
        <w:rPr>
          <w:rFonts w:ascii="Arial" w:hAnsi="Arial" w:cs="Arial"/>
          <w:sz w:val="20"/>
          <w:szCs w:val="20"/>
        </w:rPr>
        <w:t>.</w:t>
      </w:r>
    </w:p>
    <w:p w14:paraId="5210408D" w14:textId="10A60817" w:rsidR="005D07F9" w:rsidRPr="00631E2C" w:rsidRDefault="005D07F9" w:rsidP="00FF5987">
      <w:pPr>
        <w:jc w:val="both"/>
        <w:rPr>
          <w:rFonts w:ascii="Arial" w:hAnsi="Arial" w:cs="Arial"/>
          <w:sz w:val="20"/>
          <w:szCs w:val="20"/>
        </w:rPr>
      </w:pPr>
    </w:p>
    <w:tbl>
      <w:tblPr>
        <w:tblStyle w:val="Grilledutableau"/>
        <w:tblW w:w="0" w:type="auto"/>
        <w:tblInd w:w="-5" w:type="dxa"/>
        <w:tblLook w:val="04A0" w:firstRow="1" w:lastRow="0" w:firstColumn="1" w:lastColumn="0" w:noHBand="0" w:noVBand="1"/>
      </w:tblPr>
      <w:tblGrid>
        <w:gridCol w:w="1354"/>
        <w:gridCol w:w="2333"/>
        <w:gridCol w:w="1174"/>
        <w:gridCol w:w="1047"/>
        <w:gridCol w:w="1940"/>
        <w:gridCol w:w="1153"/>
      </w:tblGrid>
      <w:tr w:rsidR="00E4357C" w:rsidRPr="002E3DD0" w14:paraId="5BD56D1B" w14:textId="77777777" w:rsidTr="7E89EEE8">
        <w:tc>
          <w:tcPr>
            <w:tcW w:w="0" w:type="auto"/>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52ED9604" w14:textId="77777777" w:rsidR="0058785C" w:rsidRPr="002E3DD0" w:rsidRDefault="0058785C" w:rsidP="00483346">
            <w:pPr>
              <w:pStyle w:val="Table"/>
              <w:jc w:val="both"/>
              <w:rPr>
                <w:b/>
              </w:rPr>
            </w:pPr>
            <w:r w:rsidRPr="002E3DD0">
              <w:rPr>
                <w:b/>
                <w:bCs/>
              </w:rPr>
              <w:t>Nom du point d'accès</w:t>
            </w:r>
          </w:p>
        </w:tc>
        <w:tc>
          <w:tcPr>
            <w:tcW w:w="0" w:type="auto"/>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7FA0F0EA" w14:textId="77777777" w:rsidR="0058785C" w:rsidRPr="00861E16" w:rsidRDefault="0058785C" w:rsidP="00483346">
            <w:pPr>
              <w:pStyle w:val="Table"/>
              <w:jc w:val="both"/>
              <w:rPr>
                <w:b/>
                <w:bCs/>
              </w:rPr>
            </w:pPr>
            <w:r>
              <w:rPr>
                <w:b/>
              </w:rPr>
              <w:t xml:space="preserve">Code </w:t>
            </w:r>
            <w:r w:rsidRPr="002E3DD0">
              <w:rPr>
                <w:b/>
              </w:rPr>
              <w:t xml:space="preserve">EAN </w:t>
            </w:r>
            <w:r>
              <w:rPr>
                <w:b/>
              </w:rPr>
              <w:t>du point d’accès</w:t>
            </w:r>
          </w:p>
        </w:tc>
        <w:tc>
          <w:tcPr>
            <w:tcW w:w="0" w:type="auto"/>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5C473C90" w14:textId="367BB86A" w:rsidR="0058785C" w:rsidRPr="002E3DD0" w:rsidRDefault="0058785C" w:rsidP="00483346">
            <w:pPr>
              <w:pStyle w:val="Table"/>
              <w:jc w:val="both"/>
              <w:rPr>
                <w:b/>
              </w:rPr>
            </w:pPr>
            <w:r w:rsidRPr="002E3DD0">
              <w:rPr>
                <w:b/>
              </w:rPr>
              <w:t>Code</w:t>
            </w:r>
            <w:r w:rsidRPr="002E3DD0">
              <w:rPr>
                <w:b/>
                <w:bCs/>
              </w:rPr>
              <w:t xml:space="preserve"> </w:t>
            </w:r>
            <w:proofErr w:type="spellStart"/>
            <w:r w:rsidRPr="002E3DD0">
              <w:rPr>
                <w:b/>
                <w:bCs/>
              </w:rPr>
              <w:t>nace</w:t>
            </w:r>
            <w:proofErr w:type="spellEnd"/>
          </w:p>
        </w:tc>
        <w:tc>
          <w:tcPr>
            <w:tcW w:w="0" w:type="auto"/>
            <w:tcBorders>
              <w:top w:val="single" w:sz="12" w:space="0" w:color="auto"/>
              <w:left w:val="single" w:sz="6" w:space="0" w:color="auto"/>
              <w:bottom w:val="single" w:sz="12" w:space="0" w:color="auto"/>
              <w:right w:val="single" w:sz="8" w:space="0" w:color="auto"/>
            </w:tcBorders>
            <w:shd w:val="clear" w:color="auto" w:fill="BFBFBF" w:themeFill="background1" w:themeFillShade="BF"/>
          </w:tcPr>
          <w:p w14:paraId="33EB4E62" w14:textId="77777777" w:rsidR="0058785C" w:rsidRPr="002E3DD0" w:rsidRDefault="0058785C" w:rsidP="00483346">
            <w:pPr>
              <w:pStyle w:val="Table"/>
              <w:jc w:val="both"/>
              <w:rPr>
                <w:b/>
                <w:bCs/>
              </w:rPr>
            </w:pPr>
            <w:r>
              <w:rPr>
                <w:b/>
                <w:bCs/>
              </w:rPr>
              <w:t>Phase (numéro)</w:t>
            </w:r>
          </w:p>
        </w:tc>
        <w:tc>
          <w:tcPr>
            <w:tcW w:w="0" w:type="auto"/>
            <w:tcBorders>
              <w:top w:val="single" w:sz="12" w:space="0" w:color="auto"/>
              <w:left w:val="single" w:sz="8" w:space="0" w:color="auto"/>
              <w:bottom w:val="single" w:sz="12" w:space="0" w:color="auto"/>
            </w:tcBorders>
            <w:shd w:val="clear" w:color="auto" w:fill="BFBFBF" w:themeFill="background1" w:themeFillShade="BF"/>
          </w:tcPr>
          <w:p w14:paraId="652AD8EB" w14:textId="1BE4510B" w:rsidR="0058785C" w:rsidRPr="002E3DD0" w:rsidRDefault="00625421" w:rsidP="00483346">
            <w:pPr>
              <w:pStyle w:val="Table"/>
              <w:jc w:val="both"/>
              <w:rPr>
                <w:b/>
              </w:rPr>
            </w:pPr>
            <w:r>
              <w:rPr>
                <w:b/>
              </w:rPr>
              <w:t xml:space="preserve">Période temporaire - </w:t>
            </w:r>
            <w:r w:rsidR="0058785C">
              <w:rPr>
                <w:b/>
              </w:rPr>
              <w:t>Durée de la phase</w:t>
            </w:r>
          </w:p>
        </w:tc>
        <w:tc>
          <w:tcPr>
            <w:tcW w:w="0" w:type="auto"/>
            <w:tcBorders>
              <w:top w:val="single" w:sz="12" w:space="0" w:color="auto"/>
              <w:bottom w:val="single" w:sz="12" w:space="0" w:color="auto"/>
              <w:right w:val="single" w:sz="12" w:space="0" w:color="auto"/>
            </w:tcBorders>
            <w:shd w:val="clear" w:color="auto" w:fill="BFBFBF" w:themeFill="background1" w:themeFillShade="BF"/>
          </w:tcPr>
          <w:p w14:paraId="37D0AEFA" w14:textId="150DEB37" w:rsidR="0058785C" w:rsidRPr="002E3DD0" w:rsidRDefault="0058785C" w:rsidP="00483346">
            <w:pPr>
              <w:pStyle w:val="Table"/>
              <w:jc w:val="both"/>
              <w:rPr>
                <w:b/>
              </w:rPr>
            </w:pPr>
            <w:r w:rsidRPr="002E3DD0">
              <w:rPr>
                <w:b/>
              </w:rPr>
              <w:t xml:space="preserve">Description </w:t>
            </w:r>
          </w:p>
        </w:tc>
      </w:tr>
      <w:tr w:rsidR="00E4357C" w:rsidRPr="002E3DD0" w14:paraId="36E31B39" w14:textId="77777777" w:rsidTr="7E89EEE8">
        <w:tc>
          <w:tcPr>
            <w:tcW w:w="0" w:type="auto"/>
            <w:tcBorders>
              <w:top w:val="single" w:sz="12" w:space="0" w:color="auto"/>
              <w:left w:val="single" w:sz="12" w:space="0" w:color="auto"/>
              <w:bottom w:val="single" w:sz="12" w:space="0" w:color="auto"/>
              <w:right w:val="single" w:sz="6" w:space="0" w:color="auto"/>
            </w:tcBorders>
            <w:shd w:val="clear" w:color="auto" w:fill="FFFFFF" w:themeFill="background1"/>
          </w:tcPr>
          <w:p w14:paraId="25C79F2B" w14:textId="77777777" w:rsidR="0058785C" w:rsidRPr="002E3DD0" w:rsidRDefault="0058785C" w:rsidP="00483346">
            <w:pPr>
              <w:pStyle w:val="Table"/>
              <w:jc w:val="both"/>
              <w:rPr>
                <w:b/>
                <w:bCs/>
              </w:rPr>
            </w:pPr>
            <w:r w:rsidRPr="002E3DD0">
              <w:rPr>
                <w:rFonts w:eastAsia="Times New Roman" w:cs="Times New Roman"/>
                <w:szCs w:val="24"/>
              </w:rPr>
              <w:t>[●]</w:t>
            </w:r>
          </w:p>
        </w:tc>
        <w:tc>
          <w:tcPr>
            <w:tcW w:w="0" w:type="auto"/>
            <w:tcBorders>
              <w:top w:val="single" w:sz="12" w:space="0" w:color="auto"/>
              <w:left w:val="single" w:sz="6" w:space="0" w:color="auto"/>
              <w:bottom w:val="single" w:sz="12" w:space="0" w:color="auto"/>
              <w:right w:val="single" w:sz="6" w:space="0" w:color="auto"/>
            </w:tcBorders>
            <w:shd w:val="clear" w:color="auto" w:fill="FFFFFF" w:themeFill="background1"/>
          </w:tcPr>
          <w:p w14:paraId="7631FFD9" w14:textId="77777777" w:rsidR="0058785C" w:rsidRPr="002E3DD0" w:rsidRDefault="0058785C" w:rsidP="00483346">
            <w:pPr>
              <w:pStyle w:val="Table"/>
              <w:jc w:val="both"/>
              <w:rPr>
                <w:b/>
                <w:bCs/>
              </w:rPr>
            </w:pPr>
            <w:r w:rsidRPr="002E3DD0">
              <w:rPr>
                <w:rFonts w:eastAsia="Times New Roman" w:cs="Times New Roman"/>
                <w:szCs w:val="24"/>
              </w:rPr>
              <w:t>[●]</w:t>
            </w:r>
          </w:p>
        </w:tc>
        <w:tc>
          <w:tcPr>
            <w:tcW w:w="0" w:type="auto"/>
            <w:tcBorders>
              <w:top w:val="single" w:sz="12" w:space="0" w:color="auto"/>
              <w:left w:val="single" w:sz="6" w:space="0" w:color="auto"/>
              <w:bottom w:val="single" w:sz="12" w:space="0" w:color="auto"/>
              <w:right w:val="single" w:sz="6" w:space="0" w:color="auto"/>
            </w:tcBorders>
            <w:shd w:val="clear" w:color="auto" w:fill="FFFFFF" w:themeFill="background1"/>
          </w:tcPr>
          <w:p w14:paraId="77310FC1" w14:textId="77777777" w:rsidR="0058785C" w:rsidRPr="002E3DD0" w:rsidRDefault="0058785C" w:rsidP="00483346">
            <w:pPr>
              <w:pStyle w:val="Table"/>
              <w:jc w:val="both"/>
              <w:rPr>
                <w:rFonts w:eastAsia="Times New Roman" w:cs="Times New Roman"/>
                <w:szCs w:val="24"/>
              </w:rPr>
            </w:pPr>
            <w:r w:rsidRPr="002E3DD0">
              <w:rPr>
                <w:rFonts w:eastAsia="Times New Roman" w:cs="Times New Roman"/>
                <w:szCs w:val="24"/>
              </w:rPr>
              <w:t>[●]</w:t>
            </w:r>
          </w:p>
        </w:tc>
        <w:tc>
          <w:tcPr>
            <w:tcW w:w="0" w:type="auto"/>
            <w:tcBorders>
              <w:top w:val="single" w:sz="12" w:space="0" w:color="auto"/>
              <w:left w:val="single" w:sz="6" w:space="0" w:color="auto"/>
              <w:bottom w:val="single" w:sz="12" w:space="0" w:color="auto"/>
              <w:right w:val="single" w:sz="8" w:space="0" w:color="auto"/>
            </w:tcBorders>
            <w:shd w:val="clear" w:color="auto" w:fill="FFFFFF" w:themeFill="background1"/>
          </w:tcPr>
          <w:p w14:paraId="30365CEB" w14:textId="77777777" w:rsidR="0058785C" w:rsidRPr="002E3DD0" w:rsidRDefault="0058785C" w:rsidP="00483346">
            <w:pPr>
              <w:pStyle w:val="Table"/>
              <w:jc w:val="both"/>
              <w:rPr>
                <w:rFonts w:eastAsia="Times New Roman" w:cs="Times New Roman"/>
                <w:szCs w:val="24"/>
              </w:rPr>
            </w:pPr>
            <w:r w:rsidRPr="002E3DD0">
              <w:rPr>
                <w:rFonts w:eastAsia="Times New Roman" w:cs="Times New Roman"/>
                <w:szCs w:val="24"/>
              </w:rPr>
              <w:t>[●]</w:t>
            </w:r>
          </w:p>
        </w:tc>
        <w:tc>
          <w:tcPr>
            <w:tcW w:w="0" w:type="auto"/>
            <w:tcBorders>
              <w:top w:val="single" w:sz="12" w:space="0" w:color="auto"/>
              <w:left w:val="single" w:sz="8" w:space="0" w:color="auto"/>
              <w:bottom w:val="single" w:sz="12" w:space="0" w:color="auto"/>
            </w:tcBorders>
            <w:shd w:val="clear" w:color="auto" w:fill="FFFFFF" w:themeFill="background1"/>
          </w:tcPr>
          <w:p w14:paraId="30977C50" w14:textId="5C090900" w:rsidR="0058785C" w:rsidRPr="005E1E20" w:rsidRDefault="0058785C" w:rsidP="00483346">
            <w:pPr>
              <w:pStyle w:val="Table"/>
              <w:jc w:val="both"/>
              <w:rPr>
                <w:rFonts w:eastAsia="Times New Roman" w:cs="Times New Roman"/>
                <w:szCs w:val="24"/>
                <w:lang w:val="nl-BE"/>
              </w:rPr>
            </w:pPr>
            <w:r w:rsidRPr="005E1E20">
              <w:rPr>
                <w:rFonts w:eastAsia="Times New Roman" w:cs="Times New Roman"/>
                <w:szCs w:val="24"/>
                <w:lang w:val="nl-BE"/>
              </w:rPr>
              <w:t>[</w:t>
            </w:r>
            <w:r w:rsidR="00B35193" w:rsidRPr="005E1E20">
              <w:rPr>
                <w:rFonts w:eastAsia="Times New Roman" w:cs="Times New Roman"/>
                <w:szCs w:val="24"/>
                <w:lang w:val="nl-BE"/>
              </w:rPr>
              <w:t>JJ/MM/AAAA - JJ/MM/AAAA</w:t>
            </w:r>
            <w:r w:rsidRPr="005E1E20">
              <w:rPr>
                <w:rFonts w:eastAsia="Times New Roman" w:cs="Times New Roman"/>
                <w:szCs w:val="24"/>
                <w:lang w:val="nl-BE"/>
              </w:rPr>
              <w:t>]</w:t>
            </w:r>
          </w:p>
          <w:p w14:paraId="3E88D3D7" w14:textId="77777777" w:rsidR="0058785C" w:rsidRPr="005E1E20" w:rsidRDefault="0058785C" w:rsidP="00483346">
            <w:pPr>
              <w:pStyle w:val="Table"/>
              <w:jc w:val="both"/>
              <w:rPr>
                <w:rFonts w:eastAsia="Times New Roman" w:cs="Times New Roman"/>
                <w:szCs w:val="24"/>
                <w:lang w:val="nl-BE"/>
              </w:rPr>
            </w:pPr>
          </w:p>
        </w:tc>
        <w:tc>
          <w:tcPr>
            <w:tcW w:w="0" w:type="auto"/>
            <w:tcBorders>
              <w:top w:val="single" w:sz="12" w:space="0" w:color="auto"/>
              <w:bottom w:val="single" w:sz="12" w:space="0" w:color="auto"/>
              <w:right w:val="single" w:sz="12" w:space="0" w:color="auto"/>
            </w:tcBorders>
            <w:shd w:val="clear" w:color="auto" w:fill="FFFFFF" w:themeFill="background1"/>
          </w:tcPr>
          <w:p w14:paraId="2233C396" w14:textId="77777777" w:rsidR="0058785C" w:rsidRPr="002E3DD0" w:rsidRDefault="0058785C" w:rsidP="00483346">
            <w:pPr>
              <w:pStyle w:val="Table"/>
              <w:jc w:val="both"/>
              <w:rPr>
                <w:rFonts w:eastAsia="Times New Roman" w:cs="Times New Roman"/>
                <w:szCs w:val="24"/>
              </w:rPr>
            </w:pPr>
            <w:r w:rsidRPr="002E3DD0">
              <w:rPr>
                <w:rFonts w:eastAsia="Times New Roman" w:cs="Times New Roman"/>
                <w:szCs w:val="24"/>
              </w:rPr>
              <w:t>[●]</w:t>
            </w:r>
          </w:p>
        </w:tc>
      </w:tr>
      <w:tr w:rsidR="00E4357C" w:rsidRPr="002E3DD0" w14:paraId="0500BE6D" w14:textId="77777777" w:rsidTr="7E89EEE8">
        <w:tc>
          <w:tcPr>
            <w:tcW w:w="0" w:type="auto"/>
            <w:tcBorders>
              <w:top w:val="single" w:sz="12" w:space="0" w:color="auto"/>
              <w:left w:val="single" w:sz="12" w:space="0" w:color="auto"/>
              <w:bottom w:val="single" w:sz="12" w:space="0" w:color="auto"/>
              <w:right w:val="single" w:sz="6" w:space="0" w:color="auto"/>
            </w:tcBorders>
            <w:shd w:val="clear" w:color="auto" w:fill="FFFFFF" w:themeFill="background1"/>
          </w:tcPr>
          <w:p w14:paraId="4198295B" w14:textId="228BE3F6" w:rsidR="007B36CB" w:rsidRPr="002E3DD0" w:rsidRDefault="007B36CB" w:rsidP="007B36CB">
            <w:pPr>
              <w:pStyle w:val="Table"/>
              <w:jc w:val="both"/>
              <w:rPr>
                <w:rFonts w:eastAsia="Times New Roman" w:cs="Times New Roman"/>
                <w:szCs w:val="24"/>
              </w:rPr>
            </w:pPr>
            <w:r w:rsidRPr="002E3DD0">
              <w:rPr>
                <w:rFonts w:eastAsia="Times New Roman" w:cs="Times New Roman"/>
                <w:szCs w:val="24"/>
              </w:rPr>
              <w:lastRenderedPageBreak/>
              <w:t>[●]</w:t>
            </w:r>
          </w:p>
        </w:tc>
        <w:tc>
          <w:tcPr>
            <w:tcW w:w="0" w:type="auto"/>
            <w:tcBorders>
              <w:top w:val="single" w:sz="12" w:space="0" w:color="auto"/>
              <w:left w:val="single" w:sz="6" w:space="0" w:color="auto"/>
              <w:bottom w:val="single" w:sz="12" w:space="0" w:color="auto"/>
              <w:right w:val="single" w:sz="6" w:space="0" w:color="auto"/>
            </w:tcBorders>
            <w:shd w:val="clear" w:color="auto" w:fill="FFFFFF" w:themeFill="background1"/>
          </w:tcPr>
          <w:p w14:paraId="05776520" w14:textId="77777777" w:rsidR="007B36CB" w:rsidRPr="002E3DD0" w:rsidRDefault="007B36CB" w:rsidP="007B36CB">
            <w:pPr>
              <w:pStyle w:val="Table"/>
              <w:jc w:val="both"/>
              <w:rPr>
                <w:rFonts w:eastAsia="Times New Roman" w:cs="Times New Roman"/>
                <w:szCs w:val="24"/>
              </w:rPr>
            </w:pPr>
            <w:r w:rsidRPr="002E3DD0">
              <w:rPr>
                <w:rFonts w:eastAsia="Times New Roman" w:cs="Times New Roman"/>
                <w:szCs w:val="24"/>
              </w:rPr>
              <w:t>[●]</w:t>
            </w:r>
          </w:p>
        </w:tc>
        <w:tc>
          <w:tcPr>
            <w:tcW w:w="0" w:type="auto"/>
            <w:tcBorders>
              <w:top w:val="single" w:sz="12" w:space="0" w:color="auto"/>
              <w:left w:val="single" w:sz="6" w:space="0" w:color="auto"/>
              <w:bottom w:val="single" w:sz="12" w:space="0" w:color="auto"/>
              <w:right w:val="single" w:sz="6" w:space="0" w:color="auto"/>
            </w:tcBorders>
            <w:shd w:val="clear" w:color="auto" w:fill="FFFFFF" w:themeFill="background1"/>
          </w:tcPr>
          <w:p w14:paraId="506F20AA" w14:textId="77777777" w:rsidR="007B36CB" w:rsidRPr="002E3DD0" w:rsidRDefault="007B36CB" w:rsidP="007B36CB">
            <w:pPr>
              <w:pStyle w:val="Table"/>
              <w:jc w:val="both"/>
              <w:rPr>
                <w:rFonts w:eastAsia="Times New Roman" w:cs="Times New Roman"/>
                <w:szCs w:val="24"/>
              </w:rPr>
            </w:pPr>
            <w:r w:rsidRPr="002E3DD0">
              <w:rPr>
                <w:rFonts w:eastAsia="Times New Roman" w:cs="Times New Roman"/>
                <w:szCs w:val="24"/>
              </w:rPr>
              <w:t>[●]</w:t>
            </w:r>
          </w:p>
        </w:tc>
        <w:tc>
          <w:tcPr>
            <w:tcW w:w="0" w:type="auto"/>
            <w:tcBorders>
              <w:top w:val="single" w:sz="12" w:space="0" w:color="auto"/>
              <w:left w:val="single" w:sz="6" w:space="0" w:color="auto"/>
              <w:bottom w:val="single" w:sz="12" w:space="0" w:color="auto"/>
              <w:right w:val="single" w:sz="8" w:space="0" w:color="auto"/>
            </w:tcBorders>
            <w:shd w:val="clear" w:color="auto" w:fill="FFFFFF" w:themeFill="background1"/>
          </w:tcPr>
          <w:p w14:paraId="524501C2" w14:textId="77777777" w:rsidR="007B36CB" w:rsidRPr="002E3DD0" w:rsidRDefault="007B36CB" w:rsidP="007B36CB">
            <w:pPr>
              <w:pStyle w:val="Table"/>
              <w:jc w:val="both"/>
              <w:rPr>
                <w:rFonts w:eastAsia="Times New Roman" w:cs="Times New Roman"/>
                <w:szCs w:val="24"/>
              </w:rPr>
            </w:pPr>
            <w:r w:rsidRPr="002E3DD0">
              <w:rPr>
                <w:rFonts w:eastAsia="Times New Roman" w:cs="Times New Roman"/>
                <w:szCs w:val="24"/>
              </w:rPr>
              <w:t>[●]</w:t>
            </w:r>
          </w:p>
        </w:tc>
        <w:tc>
          <w:tcPr>
            <w:tcW w:w="0" w:type="auto"/>
            <w:tcBorders>
              <w:top w:val="single" w:sz="12" w:space="0" w:color="auto"/>
              <w:left w:val="single" w:sz="8" w:space="0" w:color="auto"/>
              <w:bottom w:val="single" w:sz="12" w:space="0" w:color="auto"/>
            </w:tcBorders>
            <w:shd w:val="clear" w:color="auto" w:fill="FFFFFF" w:themeFill="background1"/>
          </w:tcPr>
          <w:p w14:paraId="3D166AEC" w14:textId="77777777" w:rsidR="007B36CB" w:rsidRPr="006974A4" w:rsidRDefault="007B36CB" w:rsidP="007B36CB">
            <w:pPr>
              <w:pStyle w:val="Table"/>
              <w:jc w:val="both"/>
              <w:rPr>
                <w:rFonts w:eastAsia="Times New Roman" w:cs="Times New Roman"/>
                <w:szCs w:val="24"/>
                <w:lang w:val="nl-BE"/>
              </w:rPr>
            </w:pPr>
            <w:r w:rsidRPr="006974A4">
              <w:rPr>
                <w:rFonts w:eastAsia="Times New Roman" w:cs="Times New Roman"/>
                <w:szCs w:val="24"/>
                <w:lang w:val="nl-BE"/>
              </w:rPr>
              <w:t>[JJ/MM/AAAA - JJ/MM/AAAA]</w:t>
            </w:r>
          </w:p>
          <w:p w14:paraId="7BF2F256" w14:textId="77777777" w:rsidR="007B36CB" w:rsidRPr="005E1E20" w:rsidRDefault="007B36CB" w:rsidP="007B36CB">
            <w:pPr>
              <w:pStyle w:val="Table"/>
              <w:jc w:val="both"/>
              <w:rPr>
                <w:rFonts w:eastAsia="Times New Roman" w:cs="Times New Roman"/>
                <w:szCs w:val="24"/>
                <w:lang w:val="nl-BE"/>
              </w:rPr>
            </w:pPr>
          </w:p>
        </w:tc>
        <w:tc>
          <w:tcPr>
            <w:tcW w:w="0" w:type="auto"/>
            <w:tcBorders>
              <w:top w:val="single" w:sz="12" w:space="0" w:color="auto"/>
              <w:bottom w:val="single" w:sz="12" w:space="0" w:color="auto"/>
              <w:right w:val="single" w:sz="12" w:space="0" w:color="auto"/>
            </w:tcBorders>
            <w:shd w:val="clear" w:color="auto" w:fill="FFFFFF" w:themeFill="background1"/>
          </w:tcPr>
          <w:p w14:paraId="3247BBEA" w14:textId="4DD43527" w:rsidR="007B36CB" w:rsidRPr="002E3DD0" w:rsidRDefault="007B36CB" w:rsidP="007B36CB">
            <w:pPr>
              <w:pStyle w:val="Table"/>
              <w:jc w:val="both"/>
              <w:rPr>
                <w:rFonts w:eastAsia="Times New Roman" w:cs="Times New Roman"/>
                <w:szCs w:val="24"/>
              </w:rPr>
            </w:pPr>
            <w:r w:rsidRPr="002E3DD0">
              <w:rPr>
                <w:rFonts w:eastAsia="Times New Roman" w:cs="Times New Roman"/>
                <w:szCs w:val="24"/>
              </w:rPr>
              <w:t>[●]</w:t>
            </w:r>
          </w:p>
        </w:tc>
      </w:tr>
      <w:tr w:rsidR="00951A09" w:rsidRPr="002E3DD0" w14:paraId="13588ECF" w14:textId="77777777" w:rsidTr="7E89EEE8">
        <w:tc>
          <w:tcPr>
            <w:tcW w:w="0" w:type="auto"/>
            <w:gridSpan w:val="3"/>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08961AD7" w14:textId="77777777" w:rsidR="007B36CB" w:rsidRPr="002E3DD0" w:rsidRDefault="007B36CB" w:rsidP="007B36CB">
            <w:pPr>
              <w:pStyle w:val="Table"/>
              <w:jc w:val="both"/>
              <w:rPr>
                <w:rFonts w:eastAsia="Times New Roman" w:cs="Times New Roman"/>
                <w:szCs w:val="24"/>
              </w:rPr>
            </w:pPr>
            <w:r w:rsidRPr="002E3DD0">
              <w:rPr>
                <w:b/>
                <w:bCs/>
              </w:rPr>
              <w:t>Profil du point d'accès ci-dessus</w:t>
            </w:r>
          </w:p>
        </w:tc>
        <w:tc>
          <w:tcPr>
            <w:tcW w:w="0" w:type="auto"/>
            <w:gridSpan w:val="2"/>
            <w:tcBorders>
              <w:top w:val="single" w:sz="12" w:space="0" w:color="auto"/>
              <w:left w:val="single" w:sz="6" w:space="0" w:color="auto"/>
              <w:bottom w:val="single" w:sz="12" w:space="0" w:color="auto"/>
              <w:right w:val="single" w:sz="8" w:space="0" w:color="auto"/>
            </w:tcBorders>
            <w:shd w:val="clear" w:color="auto" w:fill="D9D9D9" w:themeFill="background1" w:themeFillShade="D9"/>
          </w:tcPr>
          <w:p w14:paraId="01906946" w14:textId="77777777" w:rsidR="007B36CB" w:rsidRPr="002E3DD0" w:rsidRDefault="007B36CB" w:rsidP="007B36CB">
            <w:pPr>
              <w:pStyle w:val="Table"/>
              <w:jc w:val="both"/>
              <w:rPr>
                <w:b/>
              </w:rPr>
            </w:pPr>
            <w:r w:rsidRPr="002E3DD0">
              <w:rPr>
                <w:b/>
              </w:rPr>
              <w:t>Phase [n</w:t>
            </w:r>
            <w:r>
              <w:rPr>
                <w:b/>
              </w:rPr>
              <w:t>uméro</w:t>
            </w:r>
            <w:r w:rsidRPr="002E3DD0">
              <w:rPr>
                <w:b/>
              </w:rPr>
              <w:t>]</w:t>
            </w:r>
          </w:p>
        </w:tc>
        <w:tc>
          <w:tcPr>
            <w:tcW w:w="0" w:type="auto"/>
            <w:tcBorders>
              <w:top w:val="single" w:sz="12" w:space="0" w:color="auto"/>
              <w:left w:val="single" w:sz="8" w:space="0" w:color="auto"/>
              <w:bottom w:val="single" w:sz="12" w:space="0" w:color="auto"/>
              <w:right w:val="single" w:sz="12" w:space="0" w:color="auto"/>
            </w:tcBorders>
            <w:shd w:val="clear" w:color="auto" w:fill="D9D9D9" w:themeFill="background1" w:themeFillShade="D9"/>
          </w:tcPr>
          <w:p w14:paraId="1C235AA1" w14:textId="75BF54F5" w:rsidR="007B36CB" w:rsidRPr="002E3DD0" w:rsidRDefault="007B36CB" w:rsidP="007B36CB">
            <w:pPr>
              <w:pStyle w:val="Table"/>
              <w:jc w:val="both"/>
              <w:rPr>
                <w:b/>
              </w:rPr>
            </w:pPr>
            <w:r w:rsidRPr="002E3DD0">
              <w:rPr>
                <w:b/>
              </w:rPr>
              <w:t>[Phase [</w:t>
            </w:r>
            <w:r>
              <w:rPr>
                <w:b/>
              </w:rPr>
              <w:t>numéro</w:t>
            </w:r>
            <w:r w:rsidRPr="002E3DD0">
              <w:rPr>
                <w:b/>
              </w:rPr>
              <w:t>]</w:t>
            </w:r>
          </w:p>
        </w:tc>
      </w:tr>
      <w:tr w:rsidR="00951A09" w:rsidRPr="002E3DD0" w14:paraId="1D4A8DB9" w14:textId="77777777" w:rsidTr="7E89EEE8">
        <w:tc>
          <w:tcPr>
            <w:tcW w:w="0" w:type="auto"/>
            <w:vMerge w:val="restart"/>
            <w:tcBorders>
              <w:top w:val="single" w:sz="12" w:space="0" w:color="auto"/>
              <w:left w:val="single" w:sz="12" w:space="0" w:color="auto"/>
              <w:right w:val="single" w:sz="6" w:space="0" w:color="auto"/>
            </w:tcBorders>
            <w:shd w:val="clear" w:color="auto" w:fill="D9D9D9" w:themeFill="background1" w:themeFillShade="D9"/>
            <w:vAlign w:val="center"/>
          </w:tcPr>
          <w:p w14:paraId="476B62A5" w14:textId="77777777" w:rsidR="007B36CB" w:rsidRPr="002E3DD0" w:rsidRDefault="007B36CB" w:rsidP="007B36CB">
            <w:pPr>
              <w:pStyle w:val="Table"/>
              <w:jc w:val="both"/>
              <w:rPr>
                <w:b/>
                <w:bCs/>
              </w:rPr>
            </w:pPr>
            <w:r>
              <w:rPr>
                <w:b/>
                <w:bCs/>
              </w:rPr>
              <w:t>Prélèvement</w:t>
            </w:r>
          </w:p>
        </w:tc>
        <w:tc>
          <w:tcPr>
            <w:tcW w:w="0" w:type="auto"/>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7DB4220D" w14:textId="77777777" w:rsidR="007B36CB" w:rsidRPr="00FB4F65" w:rsidRDefault="007B36CB" w:rsidP="007B36CB">
            <w:pPr>
              <w:pStyle w:val="Table"/>
              <w:jc w:val="both"/>
              <w:rPr>
                <w:b/>
                <w:bCs/>
              </w:rPr>
            </w:pPr>
            <w:r w:rsidRPr="00FB4F65">
              <w:rPr>
                <w:b/>
                <w:bCs/>
              </w:rPr>
              <w:t xml:space="preserve">Capacité </w:t>
            </w:r>
            <w:r>
              <w:rPr>
                <w:b/>
                <w:bCs/>
              </w:rPr>
              <w:t>de raccordement</w:t>
            </w:r>
            <w:r w:rsidRPr="00FB4F65">
              <w:rPr>
                <w:b/>
                <w:bCs/>
              </w:rPr>
              <w:t xml:space="preserve"> flexible (MW)</w:t>
            </w:r>
          </w:p>
        </w:tc>
        <w:tc>
          <w:tcPr>
            <w:tcW w:w="0" w:type="auto"/>
            <w:gridSpan w:val="2"/>
            <w:tcBorders>
              <w:top w:val="single" w:sz="12" w:space="0" w:color="auto"/>
              <w:left w:val="single" w:sz="6" w:space="0" w:color="auto"/>
              <w:bottom w:val="single" w:sz="6" w:space="0" w:color="auto"/>
              <w:right w:val="single" w:sz="8" w:space="0" w:color="auto"/>
            </w:tcBorders>
          </w:tcPr>
          <w:p w14:paraId="028B479C" w14:textId="77777777" w:rsidR="007B36CB" w:rsidRPr="002E3DD0" w:rsidRDefault="007B36CB" w:rsidP="007B36CB">
            <w:pPr>
              <w:pStyle w:val="Table"/>
              <w:jc w:val="both"/>
              <w:rPr>
                <w:b/>
              </w:rPr>
            </w:pPr>
            <w:r w:rsidRPr="002E3DD0">
              <w:t>[●] MW</w:t>
            </w:r>
          </w:p>
        </w:tc>
        <w:tc>
          <w:tcPr>
            <w:tcW w:w="0" w:type="auto"/>
            <w:tcBorders>
              <w:top w:val="single" w:sz="12" w:space="0" w:color="auto"/>
              <w:left w:val="single" w:sz="8" w:space="0" w:color="auto"/>
              <w:right w:val="single" w:sz="12" w:space="0" w:color="auto"/>
            </w:tcBorders>
          </w:tcPr>
          <w:p w14:paraId="3446DAF4" w14:textId="77777777" w:rsidR="007B36CB" w:rsidRPr="002E3DD0" w:rsidRDefault="007B36CB" w:rsidP="007B36CB">
            <w:pPr>
              <w:pStyle w:val="Table"/>
              <w:jc w:val="both"/>
              <w:rPr>
                <w:b/>
              </w:rPr>
            </w:pPr>
            <w:r w:rsidRPr="002E3DD0">
              <w:t>[●] MW</w:t>
            </w:r>
          </w:p>
        </w:tc>
      </w:tr>
      <w:tr w:rsidR="00014680" w:rsidRPr="002E3DD0" w14:paraId="1923F097" w14:textId="77777777" w:rsidTr="7E89EEE8">
        <w:tc>
          <w:tcPr>
            <w:tcW w:w="0" w:type="auto"/>
            <w:vMerge/>
          </w:tcPr>
          <w:p w14:paraId="502BBCD6" w14:textId="77777777" w:rsidR="007B36CB" w:rsidRPr="002E3DD0" w:rsidRDefault="007B36CB" w:rsidP="007B36CB">
            <w:pPr>
              <w:pStyle w:val="Table"/>
              <w:jc w:val="both"/>
              <w:rPr>
                <w:b/>
                <w:bC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F83449" w14:textId="4231FEFA" w:rsidR="007B36CB" w:rsidRPr="0012507A" w:rsidRDefault="007B36CB" w:rsidP="007B36CB">
            <w:pPr>
              <w:pStyle w:val="Table"/>
              <w:jc w:val="both"/>
              <w:rPr>
                <w:b/>
                <w:highlight w:val="yellow"/>
              </w:rPr>
            </w:pPr>
            <w:r w:rsidRPr="00FB4F65">
              <w:rPr>
                <w:b/>
                <w:bCs/>
              </w:rPr>
              <w:t xml:space="preserve">Capacité </w:t>
            </w:r>
            <w:r>
              <w:rPr>
                <w:b/>
                <w:bCs/>
              </w:rPr>
              <w:t>de raccordement</w:t>
            </w:r>
            <w:r w:rsidRPr="00FB4F65">
              <w:rPr>
                <w:b/>
                <w:bCs/>
              </w:rPr>
              <w:t xml:space="preserve"> </w:t>
            </w:r>
            <w:r>
              <w:rPr>
                <w:b/>
                <w:bCs/>
              </w:rPr>
              <w:t>ferme</w:t>
            </w:r>
            <w:r w:rsidRPr="00736FD9">
              <w:rPr>
                <w:b/>
                <w:bCs/>
              </w:rPr>
              <w:t xml:space="preserve"> (MW)</w:t>
            </w:r>
            <w:r>
              <w:rPr>
                <w:b/>
              </w:rPr>
              <w:t xml:space="preserve">  </w:t>
            </w:r>
          </w:p>
        </w:tc>
        <w:tc>
          <w:tcPr>
            <w:tcW w:w="0" w:type="auto"/>
            <w:gridSpan w:val="2"/>
            <w:tcBorders>
              <w:top w:val="single" w:sz="6" w:space="0" w:color="auto"/>
              <w:left w:val="single" w:sz="6" w:space="0" w:color="auto"/>
              <w:bottom w:val="single" w:sz="6" w:space="0" w:color="auto"/>
              <w:right w:val="single" w:sz="8" w:space="0" w:color="auto"/>
            </w:tcBorders>
          </w:tcPr>
          <w:p w14:paraId="24FAA67E" w14:textId="77777777" w:rsidR="007B36CB" w:rsidRPr="002E3DD0" w:rsidRDefault="007B36CB" w:rsidP="007B36CB">
            <w:pPr>
              <w:pStyle w:val="Table"/>
              <w:jc w:val="both"/>
              <w:rPr>
                <w:b/>
              </w:rPr>
            </w:pPr>
            <w:r w:rsidRPr="002E3DD0">
              <w:t>[●] MW</w:t>
            </w:r>
          </w:p>
        </w:tc>
        <w:tc>
          <w:tcPr>
            <w:tcW w:w="0" w:type="auto"/>
            <w:tcBorders>
              <w:left w:val="single" w:sz="8" w:space="0" w:color="auto"/>
              <w:right w:val="single" w:sz="12" w:space="0" w:color="auto"/>
            </w:tcBorders>
          </w:tcPr>
          <w:p w14:paraId="3ED1FEAC" w14:textId="77777777" w:rsidR="007B36CB" w:rsidRPr="002E3DD0" w:rsidRDefault="007B36CB" w:rsidP="007B36CB">
            <w:pPr>
              <w:pStyle w:val="Table"/>
              <w:jc w:val="both"/>
              <w:rPr>
                <w:b/>
              </w:rPr>
            </w:pPr>
            <w:r w:rsidRPr="002E3DD0">
              <w:t>[●] MW</w:t>
            </w:r>
          </w:p>
        </w:tc>
      </w:tr>
      <w:tr w:rsidR="00014680" w:rsidRPr="002E3DD0" w14:paraId="5EE0F206" w14:textId="77777777" w:rsidTr="7E89EEE8">
        <w:tc>
          <w:tcPr>
            <w:tcW w:w="0" w:type="auto"/>
            <w:vMerge/>
          </w:tcPr>
          <w:p w14:paraId="12D19E1C" w14:textId="77777777" w:rsidR="007B36CB" w:rsidRPr="002E3DD0" w:rsidRDefault="007B36CB" w:rsidP="007B36CB">
            <w:pPr>
              <w:pStyle w:val="Table"/>
              <w:jc w:val="both"/>
              <w:rPr>
                <w:b/>
                <w:bC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AB5611" w14:textId="5BA067EE" w:rsidR="007B36CB" w:rsidRPr="00FB4F65" w:rsidRDefault="007B36CB" w:rsidP="007B36CB">
            <w:pPr>
              <w:pStyle w:val="Table"/>
              <w:jc w:val="both"/>
              <w:rPr>
                <w:b/>
                <w:bCs/>
                <w:lang w:val="nl-BE"/>
              </w:rPr>
            </w:pPr>
            <w:r w:rsidRPr="00FB4F65">
              <w:rPr>
                <w:b/>
                <w:bCs/>
              </w:rPr>
              <w:t>Flexibilité curative</w:t>
            </w:r>
            <w:r>
              <w:rPr>
                <w:rStyle w:val="Appelnotedebasdep"/>
                <w:b/>
                <w:bCs/>
              </w:rPr>
              <w:footnoteReference w:id="4"/>
            </w:r>
            <w:r w:rsidRPr="00FB4F65">
              <w:rPr>
                <w:b/>
                <w:bCs/>
              </w:rPr>
              <w:t xml:space="preserve"> ( % du temps)</w:t>
            </w:r>
          </w:p>
        </w:tc>
        <w:tc>
          <w:tcPr>
            <w:tcW w:w="0" w:type="auto"/>
            <w:gridSpan w:val="2"/>
            <w:tcBorders>
              <w:top w:val="single" w:sz="6" w:space="0" w:color="auto"/>
              <w:left w:val="single" w:sz="6" w:space="0" w:color="auto"/>
              <w:bottom w:val="single" w:sz="6" w:space="0" w:color="auto"/>
              <w:right w:val="single" w:sz="8" w:space="0" w:color="auto"/>
            </w:tcBorders>
          </w:tcPr>
          <w:p w14:paraId="5E117F00" w14:textId="77777777" w:rsidR="007B36CB" w:rsidRPr="002E3DD0" w:rsidRDefault="007B36CB" w:rsidP="007B36CB">
            <w:pPr>
              <w:pStyle w:val="Table"/>
              <w:jc w:val="both"/>
              <w:rPr>
                <w:b/>
                <w:lang w:val="nl-BE"/>
              </w:rPr>
            </w:pPr>
            <w:r w:rsidRPr="002E3DD0">
              <w:t>[●] %</w:t>
            </w:r>
          </w:p>
        </w:tc>
        <w:tc>
          <w:tcPr>
            <w:tcW w:w="0" w:type="auto"/>
            <w:tcBorders>
              <w:left w:val="single" w:sz="8" w:space="0" w:color="auto"/>
              <w:right w:val="single" w:sz="12" w:space="0" w:color="auto"/>
            </w:tcBorders>
          </w:tcPr>
          <w:p w14:paraId="6041FF03" w14:textId="77777777" w:rsidR="007B36CB" w:rsidRPr="002E3DD0" w:rsidRDefault="007B36CB" w:rsidP="007B36CB">
            <w:pPr>
              <w:pStyle w:val="Table"/>
              <w:jc w:val="both"/>
              <w:rPr>
                <w:b/>
                <w:lang w:val="nl-BE"/>
              </w:rPr>
            </w:pPr>
            <w:r w:rsidRPr="002E3DD0">
              <w:t>[●] %</w:t>
            </w:r>
          </w:p>
        </w:tc>
      </w:tr>
      <w:tr w:rsidR="00014680" w:rsidRPr="002E3DD0" w14:paraId="3F06979D" w14:textId="77777777" w:rsidTr="7E89EEE8">
        <w:tc>
          <w:tcPr>
            <w:tcW w:w="0" w:type="auto"/>
            <w:vMerge/>
          </w:tcPr>
          <w:p w14:paraId="76B1CB82" w14:textId="77777777" w:rsidR="007B36CB" w:rsidRPr="002E3DD0" w:rsidRDefault="007B36CB" w:rsidP="007B36CB">
            <w:pPr>
              <w:pStyle w:val="Table"/>
              <w:jc w:val="both"/>
              <w:rPr>
                <w:b/>
                <w:bCs/>
                <w:lang w:val="nl-BE"/>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D939AF" w14:textId="77777777" w:rsidR="007B36CB" w:rsidRPr="00FB4F65" w:rsidRDefault="007B36CB" w:rsidP="007B36CB">
            <w:pPr>
              <w:pStyle w:val="Table"/>
              <w:jc w:val="both"/>
              <w:rPr>
                <w:b/>
                <w:bCs/>
                <w:lang w:val="nl-BE"/>
              </w:rPr>
            </w:pPr>
            <w:r w:rsidRPr="00FB4F65">
              <w:rPr>
                <w:b/>
                <w:bCs/>
              </w:rPr>
              <w:t>Flexibilité préventive ( % du temps)</w:t>
            </w:r>
          </w:p>
        </w:tc>
        <w:tc>
          <w:tcPr>
            <w:tcW w:w="0" w:type="auto"/>
            <w:gridSpan w:val="2"/>
            <w:tcBorders>
              <w:top w:val="single" w:sz="6" w:space="0" w:color="auto"/>
              <w:left w:val="single" w:sz="6" w:space="0" w:color="auto"/>
              <w:bottom w:val="single" w:sz="6" w:space="0" w:color="auto"/>
              <w:right w:val="single" w:sz="8" w:space="0" w:color="auto"/>
            </w:tcBorders>
          </w:tcPr>
          <w:p w14:paraId="3186A101" w14:textId="77777777" w:rsidR="007B36CB" w:rsidRPr="002E3DD0" w:rsidRDefault="007B36CB" w:rsidP="007B36CB">
            <w:pPr>
              <w:pStyle w:val="Table"/>
              <w:jc w:val="both"/>
              <w:rPr>
                <w:b/>
                <w:lang w:val="nl-BE"/>
              </w:rPr>
            </w:pPr>
            <w:r w:rsidRPr="002E3DD0">
              <w:t>[●] %</w:t>
            </w:r>
          </w:p>
        </w:tc>
        <w:tc>
          <w:tcPr>
            <w:tcW w:w="0" w:type="auto"/>
            <w:tcBorders>
              <w:left w:val="single" w:sz="8" w:space="0" w:color="auto"/>
              <w:right w:val="single" w:sz="12" w:space="0" w:color="auto"/>
            </w:tcBorders>
          </w:tcPr>
          <w:p w14:paraId="14DB6035" w14:textId="77777777" w:rsidR="007B36CB" w:rsidRPr="002E3DD0" w:rsidRDefault="007B36CB" w:rsidP="007B36CB">
            <w:pPr>
              <w:pStyle w:val="Table"/>
              <w:jc w:val="both"/>
              <w:rPr>
                <w:b/>
                <w:lang w:val="nl-BE"/>
              </w:rPr>
            </w:pPr>
            <w:r w:rsidRPr="002E3DD0">
              <w:t>[●] %</w:t>
            </w:r>
          </w:p>
        </w:tc>
      </w:tr>
      <w:tr w:rsidR="00014680" w:rsidRPr="002E3DD0" w14:paraId="64E87070" w14:textId="77777777" w:rsidTr="7E89EEE8">
        <w:tc>
          <w:tcPr>
            <w:tcW w:w="0" w:type="auto"/>
            <w:vMerge/>
          </w:tcPr>
          <w:p w14:paraId="7AF32B03" w14:textId="77777777" w:rsidR="007B36CB" w:rsidRPr="002E3DD0" w:rsidRDefault="007B36CB" w:rsidP="007B36CB">
            <w:pPr>
              <w:pStyle w:val="Table"/>
              <w:jc w:val="both"/>
              <w:rPr>
                <w:b/>
                <w:bCs/>
                <w:lang w:val="nl-BE"/>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C60F25" w14:textId="77777777" w:rsidR="007B36CB" w:rsidRPr="005E1E20" w:rsidRDefault="007B36CB" w:rsidP="007B36CB">
            <w:pPr>
              <w:pStyle w:val="Table"/>
              <w:jc w:val="both"/>
              <w:rPr>
                <w:b/>
                <w:bCs/>
              </w:rPr>
            </w:pPr>
            <w:r w:rsidRPr="00FB4F65">
              <w:rPr>
                <w:b/>
                <w:bCs/>
              </w:rPr>
              <w:t>Énergie active flexible (MWh/an)</w:t>
            </w:r>
          </w:p>
        </w:tc>
        <w:tc>
          <w:tcPr>
            <w:tcW w:w="0" w:type="auto"/>
            <w:gridSpan w:val="2"/>
            <w:tcBorders>
              <w:top w:val="single" w:sz="6" w:space="0" w:color="auto"/>
              <w:left w:val="single" w:sz="6" w:space="0" w:color="auto"/>
              <w:bottom w:val="single" w:sz="6" w:space="0" w:color="auto"/>
              <w:right w:val="single" w:sz="8" w:space="0" w:color="auto"/>
            </w:tcBorders>
          </w:tcPr>
          <w:p w14:paraId="123FDE6D" w14:textId="6FCEEBA2" w:rsidR="007B36CB" w:rsidRPr="002E3DD0" w:rsidRDefault="007B36CB" w:rsidP="007B36CB">
            <w:pPr>
              <w:pStyle w:val="Table"/>
              <w:jc w:val="both"/>
            </w:pPr>
            <w:r w:rsidRPr="002E3DD0">
              <w:t>[●] MWh</w:t>
            </w:r>
            <w:r>
              <w:t>/an</w:t>
            </w:r>
          </w:p>
        </w:tc>
        <w:tc>
          <w:tcPr>
            <w:tcW w:w="0" w:type="auto"/>
            <w:tcBorders>
              <w:left w:val="single" w:sz="8" w:space="0" w:color="auto"/>
              <w:right w:val="single" w:sz="12" w:space="0" w:color="auto"/>
            </w:tcBorders>
          </w:tcPr>
          <w:p w14:paraId="3744C939" w14:textId="22B7DE73" w:rsidR="007B36CB" w:rsidRPr="002E3DD0" w:rsidRDefault="007B36CB" w:rsidP="007B36CB">
            <w:pPr>
              <w:pStyle w:val="Table"/>
              <w:jc w:val="both"/>
            </w:pPr>
            <w:r w:rsidRPr="002E3DD0">
              <w:t>[●] MWh</w:t>
            </w:r>
            <w:r>
              <w:t>/an</w:t>
            </w:r>
          </w:p>
        </w:tc>
      </w:tr>
      <w:tr w:rsidR="00014680" w:rsidRPr="002E3DD0" w14:paraId="43F08702" w14:textId="77777777" w:rsidTr="7E89EEE8">
        <w:tc>
          <w:tcPr>
            <w:tcW w:w="0" w:type="auto"/>
            <w:vMerge/>
          </w:tcPr>
          <w:p w14:paraId="442E65A2" w14:textId="77777777" w:rsidR="007B36CB" w:rsidRPr="00B67DEE" w:rsidRDefault="007B36CB" w:rsidP="007B36CB">
            <w:pPr>
              <w:pStyle w:val="Table"/>
              <w:jc w:val="both"/>
              <w:rPr>
                <w:b/>
                <w:bCs/>
              </w:rPr>
            </w:pPr>
          </w:p>
        </w:tc>
        <w:tc>
          <w:tcPr>
            <w:tcW w:w="0" w:type="auto"/>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tcPr>
          <w:p w14:paraId="42FDD5BD" w14:textId="085BA2F0" w:rsidR="007B36CB" w:rsidRPr="00F33BFA" w:rsidRDefault="007B36CB" w:rsidP="007B36CB">
            <w:pPr>
              <w:pStyle w:val="Table"/>
              <w:jc w:val="both"/>
              <w:rPr>
                <w:b/>
                <w:bCs/>
              </w:rPr>
            </w:pPr>
            <w:r w:rsidRPr="00FB4F65">
              <w:rPr>
                <w:b/>
                <w:bCs/>
              </w:rPr>
              <w:t xml:space="preserve">Description des conditions </w:t>
            </w:r>
            <w:r>
              <w:rPr>
                <w:b/>
                <w:bCs/>
              </w:rPr>
              <w:t>de flux sur le réseau</w:t>
            </w:r>
            <w:r w:rsidRPr="00FB4F65">
              <w:rPr>
                <w:b/>
                <w:bCs/>
              </w:rPr>
              <w:t xml:space="preserve"> lorsque la flexibilisation se produit</w:t>
            </w:r>
          </w:p>
        </w:tc>
        <w:tc>
          <w:tcPr>
            <w:tcW w:w="0" w:type="auto"/>
            <w:gridSpan w:val="2"/>
            <w:tcBorders>
              <w:top w:val="single" w:sz="6" w:space="0" w:color="auto"/>
              <w:left w:val="single" w:sz="6" w:space="0" w:color="auto"/>
              <w:bottom w:val="single" w:sz="12" w:space="0" w:color="auto"/>
              <w:right w:val="single" w:sz="8" w:space="0" w:color="auto"/>
            </w:tcBorders>
          </w:tcPr>
          <w:p w14:paraId="1EFD7DFE" w14:textId="77777777" w:rsidR="007B36CB" w:rsidRPr="002E3DD0" w:rsidRDefault="007B36CB" w:rsidP="007B36CB">
            <w:pPr>
              <w:pStyle w:val="Table"/>
              <w:jc w:val="both"/>
              <w:rPr>
                <w:b/>
                <w:lang w:val="nl-BE"/>
              </w:rPr>
            </w:pPr>
            <w:r w:rsidRPr="002E3DD0">
              <w:t>[●]</w:t>
            </w:r>
          </w:p>
        </w:tc>
        <w:tc>
          <w:tcPr>
            <w:tcW w:w="0" w:type="auto"/>
            <w:tcBorders>
              <w:left w:val="single" w:sz="8" w:space="0" w:color="auto"/>
              <w:bottom w:val="single" w:sz="12" w:space="0" w:color="auto"/>
              <w:right w:val="single" w:sz="12" w:space="0" w:color="auto"/>
            </w:tcBorders>
          </w:tcPr>
          <w:p w14:paraId="7DD733F0" w14:textId="77777777" w:rsidR="007B36CB" w:rsidRPr="002E3DD0" w:rsidRDefault="007B36CB" w:rsidP="007B36CB">
            <w:pPr>
              <w:pStyle w:val="Table"/>
              <w:keepNext/>
              <w:jc w:val="both"/>
              <w:rPr>
                <w:b/>
                <w:lang w:val="nl-BE"/>
              </w:rPr>
            </w:pPr>
            <w:r w:rsidRPr="002E3DD0">
              <w:t>[●]</w:t>
            </w:r>
          </w:p>
        </w:tc>
      </w:tr>
    </w:tbl>
    <w:p w14:paraId="3E52346F" w14:textId="77777777" w:rsidR="00CD4237" w:rsidRPr="00B86336" w:rsidRDefault="00CD4237" w:rsidP="00D7652D">
      <w:pPr>
        <w:jc w:val="both"/>
        <w:rPr>
          <w:rFonts w:ascii="Arial" w:hAnsi="Arial" w:cs="Arial"/>
          <w:sz w:val="20"/>
          <w:szCs w:val="20"/>
        </w:rPr>
      </w:pPr>
    </w:p>
    <w:p w14:paraId="0E937B34" w14:textId="33DFA8B6" w:rsidR="00E34BE3" w:rsidRPr="00B86336" w:rsidRDefault="00D62144" w:rsidP="009C5458">
      <w:pPr>
        <w:jc w:val="both"/>
      </w:pPr>
      <w:r w:rsidRPr="00C36091" w:rsidDel="007457B1">
        <w:rPr>
          <w:rFonts w:ascii="Arial" w:hAnsi="Arial" w:cs="Arial"/>
          <w:sz w:val="20"/>
          <w:szCs w:val="20"/>
        </w:rPr>
        <w:t xml:space="preserve">Les conditions de limitations visant à limiter et à contrôler le prélèvement d'électricité à partir du réseau, </w:t>
      </w:r>
      <w:r w:rsidR="00F17A1D" w:rsidRPr="00C36091">
        <w:rPr>
          <w:rFonts w:ascii="Arial" w:hAnsi="Arial" w:cs="Arial"/>
          <w:sz w:val="20"/>
          <w:szCs w:val="20"/>
        </w:rPr>
        <w:t>décrites dans</w:t>
      </w:r>
      <w:r w:rsidR="0079568F" w:rsidRPr="00C36091">
        <w:rPr>
          <w:rFonts w:ascii="Arial" w:hAnsi="Arial" w:cs="Arial"/>
          <w:sz w:val="20"/>
          <w:szCs w:val="20"/>
        </w:rPr>
        <w:t xml:space="preserve"> </w:t>
      </w:r>
      <w:r w:rsidR="00F17A1D" w:rsidRPr="00C36091">
        <w:rPr>
          <w:rFonts w:ascii="Arial" w:hAnsi="Arial" w:cs="Arial"/>
          <w:sz w:val="20"/>
          <w:szCs w:val="20"/>
        </w:rPr>
        <w:t>la présente</w:t>
      </w:r>
      <w:r w:rsidRPr="00C36091" w:rsidDel="007457B1">
        <w:rPr>
          <w:rFonts w:ascii="Arial" w:hAnsi="Arial" w:cs="Arial"/>
          <w:sz w:val="20"/>
          <w:szCs w:val="20"/>
        </w:rPr>
        <w:t xml:space="preserve"> annexe prennent fin</w:t>
      </w:r>
      <w:r w:rsidR="00F17A1D" w:rsidRPr="00C36091">
        <w:rPr>
          <w:rFonts w:ascii="Arial" w:hAnsi="Arial" w:cs="Arial"/>
          <w:sz w:val="20"/>
          <w:szCs w:val="20"/>
        </w:rPr>
        <w:t xml:space="preserve"> pour les installations de prélèvement</w:t>
      </w:r>
      <w:r w:rsidRPr="00C36091" w:rsidDel="007457B1">
        <w:rPr>
          <w:rFonts w:ascii="Arial" w:hAnsi="Arial" w:cs="Arial"/>
          <w:sz w:val="20"/>
          <w:szCs w:val="20"/>
        </w:rPr>
        <w:t xml:space="preserve">, </w:t>
      </w:r>
      <w:r w:rsidR="00D05844" w:rsidRPr="00C36091">
        <w:rPr>
          <w:rFonts w:ascii="Arial" w:hAnsi="Arial" w:cs="Arial"/>
          <w:sz w:val="20"/>
          <w:szCs w:val="20"/>
        </w:rPr>
        <w:t>une fois que la capacité du réseau n'est plus limitée</w:t>
      </w:r>
      <w:r w:rsidR="00D05844" w:rsidRPr="00C36091" w:rsidDel="00D05844">
        <w:rPr>
          <w:rFonts w:ascii="Arial" w:hAnsi="Arial" w:cs="Arial"/>
          <w:sz w:val="20"/>
          <w:szCs w:val="20"/>
        </w:rPr>
        <w:t xml:space="preserve"> </w:t>
      </w:r>
      <w:r w:rsidRPr="00C36091" w:rsidDel="007457B1">
        <w:rPr>
          <w:rFonts w:ascii="Arial" w:hAnsi="Arial" w:cs="Arial"/>
          <w:sz w:val="20"/>
          <w:szCs w:val="20"/>
        </w:rPr>
        <w:t xml:space="preserve">conformément </w:t>
      </w:r>
      <w:r w:rsidR="003523D7" w:rsidRPr="00C36091">
        <w:rPr>
          <w:rFonts w:ascii="Arial" w:hAnsi="Arial" w:cs="Arial"/>
          <w:sz w:val="20"/>
          <w:szCs w:val="20"/>
        </w:rPr>
        <w:t xml:space="preserve">à l’article 26, § </w:t>
      </w:r>
      <w:r w:rsidRPr="00C36091" w:rsidDel="007457B1">
        <w:rPr>
          <w:rFonts w:ascii="Arial" w:hAnsi="Arial" w:cs="Arial"/>
          <w:sz w:val="20"/>
          <w:szCs w:val="20"/>
        </w:rPr>
        <w:t>2octies, alinéa 3, 1</w:t>
      </w:r>
      <w:r w:rsidR="003523D7" w:rsidRPr="00C36091">
        <w:rPr>
          <w:rFonts w:ascii="Arial" w:hAnsi="Arial" w:cs="Arial"/>
          <w:sz w:val="20"/>
          <w:szCs w:val="20"/>
        </w:rPr>
        <w:t>°</w:t>
      </w:r>
      <w:r w:rsidRPr="00C36091" w:rsidDel="007457B1">
        <w:rPr>
          <w:rFonts w:ascii="Arial" w:hAnsi="Arial" w:cs="Arial"/>
          <w:sz w:val="20"/>
          <w:szCs w:val="20"/>
        </w:rPr>
        <w:t xml:space="preserve"> du Décret wallon.</w:t>
      </w:r>
      <w:r w:rsidR="003523D7" w:rsidRPr="00C36091">
        <w:rPr>
          <w:rFonts w:ascii="Arial" w:hAnsi="Arial" w:cs="Arial"/>
          <w:sz w:val="20"/>
          <w:szCs w:val="20"/>
        </w:rPr>
        <w:t xml:space="preserve"> Cette</w:t>
      </w:r>
      <w:r w:rsidR="003523D7">
        <w:rPr>
          <w:rFonts w:ascii="Arial" w:hAnsi="Arial" w:cs="Arial"/>
          <w:sz w:val="20"/>
          <w:szCs w:val="20"/>
        </w:rPr>
        <w:t xml:space="preserve"> disposition </w:t>
      </w:r>
      <w:r w:rsidR="00EE65F4" w:rsidRPr="00EE65F4">
        <w:rPr>
          <w:rFonts w:ascii="Arial" w:hAnsi="Arial" w:cs="Arial"/>
          <w:sz w:val="20"/>
          <w:szCs w:val="20"/>
        </w:rPr>
        <w:t xml:space="preserve">ne s’applique pas aux unités de stockage conformément à l’article 26 </w:t>
      </w:r>
      <w:r w:rsidR="00EE65F4">
        <w:rPr>
          <w:rFonts w:ascii="Arial" w:hAnsi="Arial" w:cs="Arial"/>
          <w:sz w:val="20"/>
          <w:szCs w:val="20"/>
        </w:rPr>
        <w:t>§</w:t>
      </w:r>
      <w:r w:rsidR="00EE65F4" w:rsidRPr="00EE65F4">
        <w:rPr>
          <w:rFonts w:ascii="Arial" w:hAnsi="Arial" w:cs="Arial"/>
          <w:sz w:val="20"/>
          <w:szCs w:val="20"/>
        </w:rPr>
        <w:t xml:space="preserve"> 2nonies</w:t>
      </w:r>
      <w:r w:rsidR="00EE65F4">
        <w:rPr>
          <w:rFonts w:ascii="Arial" w:hAnsi="Arial" w:cs="Arial"/>
          <w:sz w:val="20"/>
          <w:szCs w:val="20"/>
        </w:rPr>
        <w:t>.</w:t>
      </w:r>
    </w:p>
    <w:p w14:paraId="3D66D992" w14:textId="4C0024BA" w:rsidR="00092DF1" w:rsidRDefault="0088395D" w:rsidP="00D7652D">
      <w:pPr>
        <w:jc w:val="both"/>
        <w:rPr>
          <w:rFonts w:ascii="Arial" w:hAnsi="Arial" w:cs="Arial"/>
          <w:sz w:val="20"/>
          <w:szCs w:val="20"/>
        </w:rPr>
      </w:pPr>
      <w:r w:rsidRPr="00D7652D">
        <w:rPr>
          <w:rFonts w:ascii="Arial" w:hAnsi="Arial" w:cs="Arial"/>
          <w:sz w:val="20"/>
          <w:szCs w:val="20"/>
        </w:rPr>
        <w:t xml:space="preserve">Le </w:t>
      </w:r>
      <w:r w:rsidR="00D7652D">
        <w:rPr>
          <w:rFonts w:ascii="Arial" w:hAnsi="Arial" w:cs="Arial"/>
          <w:sz w:val="20"/>
          <w:szCs w:val="20"/>
        </w:rPr>
        <w:t xml:space="preserve">second </w:t>
      </w:r>
      <w:r w:rsidRPr="00D7652D">
        <w:rPr>
          <w:rFonts w:ascii="Arial" w:hAnsi="Arial" w:cs="Arial"/>
          <w:sz w:val="20"/>
          <w:szCs w:val="20"/>
        </w:rPr>
        <w:t>tableau ci-dessous</w:t>
      </w:r>
      <w:r w:rsidR="00EB1C87">
        <w:rPr>
          <w:rFonts w:ascii="Arial" w:hAnsi="Arial" w:cs="Arial"/>
          <w:sz w:val="20"/>
          <w:szCs w:val="20"/>
        </w:rPr>
        <w:t>,</w:t>
      </w:r>
      <w:r w:rsidRPr="00D7652D">
        <w:rPr>
          <w:rFonts w:ascii="Arial" w:hAnsi="Arial" w:cs="Arial"/>
          <w:sz w:val="20"/>
          <w:szCs w:val="20"/>
        </w:rPr>
        <w:t xml:space="preserve"> </w:t>
      </w:r>
      <w:r w:rsidR="00803B91">
        <w:rPr>
          <w:rFonts w:ascii="Arial" w:hAnsi="Arial" w:cs="Arial"/>
          <w:sz w:val="20"/>
          <w:szCs w:val="20"/>
        </w:rPr>
        <w:t xml:space="preserve">reprend </w:t>
      </w:r>
      <w:r w:rsidR="00A52BC2">
        <w:rPr>
          <w:rFonts w:ascii="Arial" w:hAnsi="Arial" w:cs="Arial"/>
          <w:sz w:val="20"/>
          <w:szCs w:val="20"/>
        </w:rPr>
        <w:t>l</w:t>
      </w:r>
      <w:r w:rsidRPr="00D7652D">
        <w:rPr>
          <w:rFonts w:ascii="Arial" w:hAnsi="Arial" w:cs="Arial"/>
          <w:sz w:val="20"/>
          <w:szCs w:val="20"/>
        </w:rPr>
        <w:t>es limites</w:t>
      </w:r>
      <w:r w:rsidR="00A52BC2">
        <w:rPr>
          <w:rFonts w:ascii="Arial" w:hAnsi="Arial" w:cs="Arial"/>
          <w:sz w:val="20"/>
          <w:szCs w:val="20"/>
        </w:rPr>
        <w:t xml:space="preserve"> venant du tableau </w:t>
      </w:r>
      <w:r w:rsidR="00803B91">
        <w:rPr>
          <w:rFonts w:ascii="Arial" w:hAnsi="Arial" w:cs="Arial"/>
          <w:sz w:val="20"/>
          <w:szCs w:val="20"/>
        </w:rPr>
        <w:t>précédent exprimées</w:t>
      </w:r>
      <w:r w:rsidR="004C05C9">
        <w:rPr>
          <w:rFonts w:ascii="Arial" w:hAnsi="Arial" w:cs="Arial"/>
          <w:sz w:val="20"/>
          <w:szCs w:val="20"/>
        </w:rPr>
        <w:t>, par point d’accès</w:t>
      </w:r>
      <w:r w:rsidR="00E03F81">
        <w:rPr>
          <w:rFonts w:ascii="Arial" w:hAnsi="Arial" w:cs="Arial"/>
          <w:sz w:val="20"/>
          <w:szCs w:val="20"/>
        </w:rPr>
        <w:t xml:space="preserve"> et par année pour l’ensemble des unités visées à la présente Annexe.</w:t>
      </w:r>
      <w:r w:rsidRPr="00D7652D">
        <w:rPr>
          <w:rFonts w:ascii="Arial" w:hAnsi="Arial" w:cs="Arial"/>
          <w:sz w:val="20"/>
          <w:szCs w:val="20"/>
        </w:rPr>
        <w:t xml:space="preserve"> </w:t>
      </w:r>
    </w:p>
    <w:tbl>
      <w:tblPr>
        <w:tblStyle w:val="Grilledutableau"/>
        <w:tblW w:w="0" w:type="auto"/>
        <w:tblLook w:val="04A0" w:firstRow="1" w:lastRow="0" w:firstColumn="1" w:lastColumn="0" w:noHBand="0" w:noVBand="1"/>
      </w:tblPr>
      <w:tblGrid>
        <w:gridCol w:w="1478"/>
        <w:gridCol w:w="1636"/>
        <w:gridCol w:w="1559"/>
        <w:gridCol w:w="1843"/>
        <w:gridCol w:w="2069"/>
        <w:gridCol w:w="431"/>
      </w:tblGrid>
      <w:tr w:rsidR="00483346" w:rsidRPr="00D26F34" w14:paraId="20BC80C4" w14:textId="77777777" w:rsidTr="00D91B86">
        <w:tc>
          <w:tcPr>
            <w:tcW w:w="1478" w:type="dxa"/>
          </w:tcPr>
          <w:p w14:paraId="0737703B" w14:textId="7ED2652D" w:rsidR="00082598" w:rsidRPr="007A001B" w:rsidRDefault="0043007E" w:rsidP="00D7652D">
            <w:pPr>
              <w:jc w:val="both"/>
              <w:rPr>
                <w:sz w:val="16"/>
                <w:szCs w:val="16"/>
              </w:rPr>
            </w:pPr>
            <w:r>
              <w:rPr>
                <w:rFonts w:ascii="Arial" w:hAnsi="Arial" w:cs="Arial"/>
                <w:sz w:val="20"/>
                <w:szCs w:val="20"/>
              </w:rPr>
              <w:br/>
            </w:r>
          </w:p>
        </w:tc>
        <w:tc>
          <w:tcPr>
            <w:tcW w:w="1636" w:type="dxa"/>
          </w:tcPr>
          <w:p w14:paraId="74D92D62" w14:textId="77777777" w:rsidR="00082598" w:rsidRPr="00654E11" w:rsidRDefault="00082598" w:rsidP="00D7652D">
            <w:pPr>
              <w:jc w:val="both"/>
              <w:rPr>
                <w:sz w:val="16"/>
                <w:szCs w:val="16"/>
              </w:rPr>
            </w:pPr>
            <w:r w:rsidRPr="0083356C">
              <w:rPr>
                <w:sz w:val="16"/>
                <w:szCs w:val="16"/>
              </w:rPr>
              <w:t>Nom du point d'accès</w:t>
            </w:r>
          </w:p>
        </w:tc>
        <w:tc>
          <w:tcPr>
            <w:tcW w:w="3402" w:type="dxa"/>
            <w:gridSpan w:val="2"/>
          </w:tcPr>
          <w:p w14:paraId="4AAEF5A9" w14:textId="77777777" w:rsidR="00082598" w:rsidRPr="00654E11" w:rsidRDefault="00082598" w:rsidP="00D7652D">
            <w:pPr>
              <w:jc w:val="both"/>
              <w:rPr>
                <w:sz w:val="16"/>
                <w:szCs w:val="16"/>
                <w:lang w:val="nl-BE"/>
              </w:rPr>
            </w:pPr>
            <w:r w:rsidRPr="00654E11">
              <w:rPr>
                <w:sz w:val="16"/>
                <w:szCs w:val="16"/>
              </w:rPr>
              <w:t>[●]</w:t>
            </w:r>
          </w:p>
        </w:tc>
        <w:tc>
          <w:tcPr>
            <w:tcW w:w="2069" w:type="dxa"/>
          </w:tcPr>
          <w:p w14:paraId="35132997" w14:textId="77777777" w:rsidR="00082598" w:rsidRPr="00654E11" w:rsidRDefault="00082598" w:rsidP="00D7652D">
            <w:pPr>
              <w:jc w:val="both"/>
              <w:rPr>
                <w:sz w:val="16"/>
                <w:szCs w:val="16"/>
              </w:rPr>
            </w:pPr>
            <w:r w:rsidRPr="0083356C">
              <w:rPr>
                <w:sz w:val="16"/>
                <w:szCs w:val="16"/>
              </w:rPr>
              <w:t>Code EAN du point d’accès</w:t>
            </w:r>
          </w:p>
        </w:tc>
        <w:tc>
          <w:tcPr>
            <w:tcW w:w="0" w:type="auto"/>
          </w:tcPr>
          <w:p w14:paraId="3B2F4D7D" w14:textId="77777777" w:rsidR="00082598" w:rsidRPr="00654E11" w:rsidRDefault="00082598" w:rsidP="00D7652D">
            <w:pPr>
              <w:jc w:val="both"/>
              <w:rPr>
                <w:sz w:val="16"/>
                <w:szCs w:val="16"/>
              </w:rPr>
            </w:pPr>
            <w:r w:rsidRPr="00654E11">
              <w:rPr>
                <w:sz w:val="16"/>
                <w:szCs w:val="16"/>
              </w:rPr>
              <w:t>[●]</w:t>
            </w:r>
          </w:p>
        </w:tc>
      </w:tr>
      <w:tr w:rsidR="00082598" w:rsidRPr="00D26F34" w14:paraId="36159E6E" w14:textId="77777777" w:rsidTr="00D91B86">
        <w:tc>
          <w:tcPr>
            <w:tcW w:w="1478" w:type="dxa"/>
          </w:tcPr>
          <w:p w14:paraId="7AA49632" w14:textId="77777777" w:rsidR="00082598" w:rsidRPr="00654E11" w:rsidRDefault="00082598" w:rsidP="00D7652D">
            <w:pPr>
              <w:jc w:val="both"/>
              <w:rPr>
                <w:sz w:val="16"/>
                <w:szCs w:val="16"/>
                <w:lang w:val="nl-BE"/>
              </w:rPr>
            </w:pPr>
          </w:p>
        </w:tc>
        <w:tc>
          <w:tcPr>
            <w:tcW w:w="7538" w:type="dxa"/>
            <w:gridSpan w:val="5"/>
          </w:tcPr>
          <w:p w14:paraId="172308CF" w14:textId="77777777" w:rsidR="00082598" w:rsidRDefault="00082598" w:rsidP="00483346">
            <w:pPr>
              <w:jc w:val="both"/>
              <w:rPr>
                <w:b/>
                <w:bCs/>
                <w:sz w:val="16"/>
                <w:szCs w:val="16"/>
                <w:lang w:val="nl-BE"/>
              </w:rPr>
            </w:pPr>
            <w:proofErr w:type="spellStart"/>
            <w:r>
              <w:rPr>
                <w:b/>
                <w:bCs/>
                <w:sz w:val="16"/>
                <w:szCs w:val="16"/>
                <w:lang w:val="nl-BE"/>
              </w:rPr>
              <w:t>Prélèvement</w:t>
            </w:r>
            <w:proofErr w:type="spellEnd"/>
          </w:p>
        </w:tc>
      </w:tr>
      <w:tr w:rsidR="00082598" w:rsidRPr="00D26F34" w14:paraId="1923260F" w14:textId="77777777" w:rsidTr="00D91B86">
        <w:tc>
          <w:tcPr>
            <w:tcW w:w="1478" w:type="dxa"/>
          </w:tcPr>
          <w:p w14:paraId="766BA265" w14:textId="77777777" w:rsidR="00082598" w:rsidRPr="00654E11" w:rsidRDefault="00082598" w:rsidP="00D7652D">
            <w:pPr>
              <w:jc w:val="both"/>
              <w:rPr>
                <w:sz w:val="16"/>
                <w:szCs w:val="16"/>
                <w:lang w:val="nl-BE"/>
              </w:rPr>
            </w:pPr>
            <w:proofErr w:type="spellStart"/>
            <w:r>
              <w:rPr>
                <w:sz w:val="16"/>
                <w:szCs w:val="16"/>
                <w:lang w:val="nl-BE"/>
              </w:rPr>
              <w:t>Année</w:t>
            </w:r>
            <w:proofErr w:type="spellEnd"/>
            <w:r>
              <w:rPr>
                <w:sz w:val="16"/>
                <w:szCs w:val="16"/>
                <w:lang w:val="nl-BE"/>
              </w:rPr>
              <w:t xml:space="preserve"> </w:t>
            </w:r>
            <w:proofErr w:type="spellStart"/>
            <w:r>
              <w:rPr>
                <w:sz w:val="16"/>
                <w:szCs w:val="16"/>
                <w:lang w:val="nl-BE"/>
              </w:rPr>
              <w:t>civile</w:t>
            </w:r>
            <w:proofErr w:type="spellEnd"/>
          </w:p>
        </w:tc>
        <w:tc>
          <w:tcPr>
            <w:tcW w:w="1636" w:type="dxa"/>
          </w:tcPr>
          <w:p w14:paraId="1A4204FD" w14:textId="77777777" w:rsidR="00082598" w:rsidRPr="00654E11" w:rsidRDefault="00082598" w:rsidP="00D7652D">
            <w:pPr>
              <w:jc w:val="both"/>
              <w:rPr>
                <w:sz w:val="16"/>
                <w:szCs w:val="16"/>
                <w:lang w:val="nl-BE"/>
              </w:rPr>
            </w:pPr>
            <w:r>
              <w:rPr>
                <w:sz w:val="16"/>
                <w:szCs w:val="16"/>
              </w:rPr>
              <w:t>Capacité de raccordement flexible</w:t>
            </w:r>
          </w:p>
        </w:tc>
        <w:tc>
          <w:tcPr>
            <w:tcW w:w="1559" w:type="dxa"/>
          </w:tcPr>
          <w:p w14:paraId="71C620F8" w14:textId="77777777" w:rsidR="00082598" w:rsidRPr="00306A2B" w:rsidRDefault="00082598" w:rsidP="00D7652D">
            <w:pPr>
              <w:jc w:val="both"/>
              <w:rPr>
                <w:sz w:val="16"/>
                <w:szCs w:val="16"/>
                <w:lang w:val="nl-BE"/>
              </w:rPr>
            </w:pPr>
            <w:r>
              <w:rPr>
                <w:sz w:val="16"/>
                <w:szCs w:val="16"/>
              </w:rPr>
              <w:t>Capacité de raccordement ferme</w:t>
            </w:r>
          </w:p>
        </w:tc>
        <w:tc>
          <w:tcPr>
            <w:tcW w:w="1843" w:type="dxa"/>
          </w:tcPr>
          <w:p w14:paraId="58EBB9BC" w14:textId="35A58D14" w:rsidR="00082598" w:rsidRPr="005E1E20" w:rsidRDefault="00082598" w:rsidP="00D7652D">
            <w:pPr>
              <w:jc w:val="both"/>
              <w:rPr>
                <w:sz w:val="16"/>
                <w:szCs w:val="16"/>
              </w:rPr>
            </w:pPr>
            <w:r w:rsidRPr="005E1E20">
              <w:rPr>
                <w:sz w:val="16"/>
                <w:szCs w:val="16"/>
              </w:rPr>
              <w:t>Energie active modulée</w:t>
            </w:r>
            <w:r w:rsidR="009D75DA" w:rsidRPr="005E1E20">
              <w:rPr>
                <w:sz w:val="16"/>
                <w:szCs w:val="16"/>
              </w:rPr>
              <w:t xml:space="preserve"> par an</w:t>
            </w:r>
          </w:p>
        </w:tc>
        <w:tc>
          <w:tcPr>
            <w:tcW w:w="2069" w:type="dxa"/>
          </w:tcPr>
          <w:p w14:paraId="66415403" w14:textId="77777777" w:rsidR="00082598" w:rsidRPr="007A001B" w:rsidRDefault="00082598" w:rsidP="00D7652D">
            <w:pPr>
              <w:jc w:val="both"/>
              <w:rPr>
                <w:sz w:val="16"/>
                <w:szCs w:val="16"/>
              </w:rPr>
            </w:pPr>
            <w:r w:rsidRPr="007A001B">
              <w:rPr>
                <w:sz w:val="16"/>
                <w:szCs w:val="16"/>
              </w:rPr>
              <w:t xml:space="preserve">Nombre de quarts d’heure </w:t>
            </w:r>
            <w:r>
              <w:rPr>
                <w:sz w:val="16"/>
                <w:szCs w:val="16"/>
              </w:rPr>
              <w:t>de modulation</w:t>
            </w:r>
            <w:r>
              <w:rPr>
                <w:rStyle w:val="Appelnotedebasdep"/>
                <w:sz w:val="16"/>
                <w:szCs w:val="16"/>
              </w:rPr>
              <w:footnoteReference w:id="5"/>
            </w:r>
          </w:p>
        </w:tc>
        <w:tc>
          <w:tcPr>
            <w:tcW w:w="0" w:type="auto"/>
          </w:tcPr>
          <w:p w14:paraId="7340D473" w14:textId="77777777" w:rsidR="00082598" w:rsidRPr="007A001B" w:rsidRDefault="00082598" w:rsidP="00D7652D">
            <w:pPr>
              <w:jc w:val="both"/>
              <w:rPr>
                <w:sz w:val="16"/>
                <w:szCs w:val="16"/>
              </w:rPr>
            </w:pPr>
          </w:p>
        </w:tc>
      </w:tr>
      <w:tr w:rsidR="00082598" w:rsidRPr="003127F2" w14:paraId="02F7EAC3" w14:textId="77777777" w:rsidTr="00D91B86">
        <w:tc>
          <w:tcPr>
            <w:tcW w:w="1478" w:type="dxa"/>
          </w:tcPr>
          <w:p w14:paraId="7477BEAD" w14:textId="77777777" w:rsidR="00082598" w:rsidRPr="00654E11" w:rsidRDefault="00082598" w:rsidP="00D7652D">
            <w:pPr>
              <w:jc w:val="both"/>
              <w:rPr>
                <w:sz w:val="16"/>
                <w:szCs w:val="16"/>
                <w:lang w:val="nl-BE"/>
              </w:rPr>
            </w:pPr>
            <w:r>
              <w:rPr>
                <w:sz w:val="16"/>
                <w:szCs w:val="16"/>
                <w:lang w:val="nl-BE"/>
              </w:rPr>
              <w:t>[</w:t>
            </w:r>
            <w:proofErr w:type="spellStart"/>
            <w:proofErr w:type="gramStart"/>
            <w:r>
              <w:rPr>
                <w:sz w:val="16"/>
                <w:szCs w:val="16"/>
                <w:lang w:val="nl-BE"/>
              </w:rPr>
              <w:t>année</w:t>
            </w:r>
            <w:proofErr w:type="spellEnd"/>
            <w:proofErr w:type="gramEnd"/>
            <w:r>
              <w:rPr>
                <w:sz w:val="16"/>
                <w:szCs w:val="16"/>
                <w:lang w:val="nl-BE"/>
              </w:rPr>
              <w:t xml:space="preserve"> 1]</w:t>
            </w:r>
          </w:p>
        </w:tc>
        <w:tc>
          <w:tcPr>
            <w:tcW w:w="1636" w:type="dxa"/>
          </w:tcPr>
          <w:p w14:paraId="30DAD9A7" w14:textId="77777777" w:rsidR="00082598" w:rsidRPr="00654E11" w:rsidRDefault="00082598" w:rsidP="00D7652D">
            <w:pPr>
              <w:jc w:val="both"/>
              <w:rPr>
                <w:sz w:val="16"/>
                <w:szCs w:val="16"/>
                <w:lang w:val="nl-BE"/>
              </w:rPr>
            </w:pPr>
            <w:r w:rsidRPr="00654E11">
              <w:rPr>
                <w:sz w:val="16"/>
                <w:szCs w:val="16"/>
              </w:rPr>
              <w:t>[●] MW</w:t>
            </w:r>
          </w:p>
        </w:tc>
        <w:tc>
          <w:tcPr>
            <w:tcW w:w="1559" w:type="dxa"/>
          </w:tcPr>
          <w:p w14:paraId="56DC973C" w14:textId="77777777" w:rsidR="00082598" w:rsidRPr="00306A2B" w:rsidRDefault="00082598" w:rsidP="00D7652D">
            <w:pPr>
              <w:jc w:val="both"/>
              <w:rPr>
                <w:sz w:val="16"/>
                <w:szCs w:val="16"/>
                <w:lang w:val="nl-BE"/>
              </w:rPr>
            </w:pPr>
            <w:r w:rsidRPr="00654E11">
              <w:rPr>
                <w:sz w:val="16"/>
                <w:szCs w:val="16"/>
              </w:rPr>
              <w:t>[●] MW</w:t>
            </w:r>
          </w:p>
        </w:tc>
        <w:tc>
          <w:tcPr>
            <w:tcW w:w="1843" w:type="dxa"/>
          </w:tcPr>
          <w:p w14:paraId="67A2C225" w14:textId="05603CB2" w:rsidR="00082598" w:rsidRPr="00306A2B" w:rsidRDefault="00082598" w:rsidP="00D7652D">
            <w:pPr>
              <w:jc w:val="both"/>
              <w:rPr>
                <w:sz w:val="16"/>
                <w:szCs w:val="16"/>
                <w:lang w:val="nl-BE"/>
              </w:rPr>
            </w:pPr>
            <w:r w:rsidRPr="00654E11">
              <w:rPr>
                <w:sz w:val="16"/>
                <w:szCs w:val="16"/>
              </w:rPr>
              <w:t>[●] MWh</w:t>
            </w:r>
            <w:r w:rsidR="009D75DA">
              <w:rPr>
                <w:sz w:val="16"/>
                <w:szCs w:val="16"/>
              </w:rPr>
              <w:t>/an</w:t>
            </w:r>
          </w:p>
        </w:tc>
        <w:tc>
          <w:tcPr>
            <w:tcW w:w="2069" w:type="dxa"/>
          </w:tcPr>
          <w:p w14:paraId="69FEEE1D" w14:textId="77777777" w:rsidR="00082598" w:rsidRPr="00654E11" w:rsidRDefault="00082598" w:rsidP="00D7652D">
            <w:pPr>
              <w:jc w:val="both"/>
              <w:rPr>
                <w:sz w:val="16"/>
                <w:szCs w:val="16"/>
              </w:rPr>
            </w:pPr>
            <w:r w:rsidRPr="00654E11">
              <w:rPr>
                <w:sz w:val="16"/>
                <w:szCs w:val="16"/>
              </w:rPr>
              <w:t>[●]</w:t>
            </w:r>
          </w:p>
        </w:tc>
        <w:tc>
          <w:tcPr>
            <w:tcW w:w="0" w:type="auto"/>
          </w:tcPr>
          <w:p w14:paraId="7401C538" w14:textId="77777777" w:rsidR="00082598" w:rsidRPr="00654E11" w:rsidRDefault="00082598" w:rsidP="00D7652D">
            <w:pPr>
              <w:jc w:val="both"/>
              <w:rPr>
                <w:sz w:val="16"/>
                <w:szCs w:val="16"/>
              </w:rPr>
            </w:pPr>
          </w:p>
        </w:tc>
      </w:tr>
      <w:tr w:rsidR="00082598" w:rsidRPr="003127F2" w14:paraId="0AD41EC6" w14:textId="77777777" w:rsidTr="00D91B86">
        <w:tc>
          <w:tcPr>
            <w:tcW w:w="1478" w:type="dxa"/>
          </w:tcPr>
          <w:p w14:paraId="7BF5E03A" w14:textId="77777777" w:rsidR="00082598" w:rsidRPr="00654E11" w:rsidRDefault="00082598" w:rsidP="00D7652D">
            <w:pPr>
              <w:jc w:val="both"/>
              <w:rPr>
                <w:sz w:val="16"/>
                <w:szCs w:val="16"/>
                <w:lang w:val="nl-BE"/>
              </w:rPr>
            </w:pPr>
            <w:r w:rsidRPr="00654E11">
              <w:rPr>
                <w:sz w:val="16"/>
                <w:szCs w:val="16"/>
                <w:lang w:val="nl-BE"/>
              </w:rPr>
              <w:t>[</w:t>
            </w:r>
            <w:proofErr w:type="spellStart"/>
            <w:proofErr w:type="gramStart"/>
            <w:r>
              <w:rPr>
                <w:sz w:val="16"/>
                <w:szCs w:val="16"/>
                <w:lang w:val="nl-BE"/>
              </w:rPr>
              <w:t>année</w:t>
            </w:r>
            <w:proofErr w:type="spellEnd"/>
            <w:proofErr w:type="gramEnd"/>
            <w:r>
              <w:rPr>
                <w:sz w:val="16"/>
                <w:szCs w:val="16"/>
                <w:lang w:val="nl-BE"/>
              </w:rPr>
              <w:t xml:space="preserve"> 2]</w:t>
            </w:r>
          </w:p>
        </w:tc>
        <w:tc>
          <w:tcPr>
            <w:tcW w:w="1636" w:type="dxa"/>
          </w:tcPr>
          <w:p w14:paraId="22A8036A" w14:textId="77777777" w:rsidR="00082598" w:rsidRPr="00654E11" w:rsidRDefault="00082598" w:rsidP="00D7652D">
            <w:pPr>
              <w:jc w:val="both"/>
              <w:rPr>
                <w:sz w:val="16"/>
                <w:szCs w:val="16"/>
                <w:lang w:val="nl-BE"/>
              </w:rPr>
            </w:pPr>
            <w:r w:rsidRPr="00654E11">
              <w:rPr>
                <w:sz w:val="16"/>
                <w:szCs w:val="16"/>
              </w:rPr>
              <w:t>[●] MW</w:t>
            </w:r>
          </w:p>
        </w:tc>
        <w:tc>
          <w:tcPr>
            <w:tcW w:w="1559" w:type="dxa"/>
          </w:tcPr>
          <w:p w14:paraId="2297CB1B" w14:textId="77777777" w:rsidR="00082598" w:rsidRPr="00306A2B" w:rsidRDefault="00082598" w:rsidP="00D7652D">
            <w:pPr>
              <w:jc w:val="both"/>
              <w:rPr>
                <w:sz w:val="16"/>
                <w:szCs w:val="16"/>
                <w:lang w:val="nl-BE"/>
              </w:rPr>
            </w:pPr>
            <w:r w:rsidRPr="00654E11">
              <w:rPr>
                <w:sz w:val="16"/>
                <w:szCs w:val="16"/>
              </w:rPr>
              <w:t>[●] MW</w:t>
            </w:r>
          </w:p>
        </w:tc>
        <w:tc>
          <w:tcPr>
            <w:tcW w:w="1843" w:type="dxa"/>
          </w:tcPr>
          <w:p w14:paraId="34579D3B" w14:textId="5F58F01B" w:rsidR="00082598" w:rsidRPr="00306A2B" w:rsidRDefault="00082598" w:rsidP="00D7652D">
            <w:pPr>
              <w:jc w:val="both"/>
              <w:rPr>
                <w:sz w:val="16"/>
                <w:szCs w:val="16"/>
                <w:lang w:val="nl-BE"/>
              </w:rPr>
            </w:pPr>
            <w:r w:rsidRPr="00654E11">
              <w:rPr>
                <w:sz w:val="16"/>
                <w:szCs w:val="16"/>
              </w:rPr>
              <w:t>[●] MWh</w:t>
            </w:r>
            <w:r w:rsidR="009D75DA">
              <w:rPr>
                <w:sz w:val="16"/>
                <w:szCs w:val="16"/>
              </w:rPr>
              <w:t>/an</w:t>
            </w:r>
          </w:p>
        </w:tc>
        <w:tc>
          <w:tcPr>
            <w:tcW w:w="2069" w:type="dxa"/>
          </w:tcPr>
          <w:p w14:paraId="2037B2C8" w14:textId="77777777" w:rsidR="00082598" w:rsidRPr="00654E11" w:rsidRDefault="00082598" w:rsidP="00D7652D">
            <w:pPr>
              <w:jc w:val="both"/>
              <w:rPr>
                <w:sz w:val="16"/>
                <w:szCs w:val="16"/>
              </w:rPr>
            </w:pPr>
            <w:r w:rsidRPr="00654E11">
              <w:rPr>
                <w:sz w:val="16"/>
                <w:szCs w:val="16"/>
              </w:rPr>
              <w:t xml:space="preserve">[●] </w:t>
            </w:r>
          </w:p>
        </w:tc>
        <w:tc>
          <w:tcPr>
            <w:tcW w:w="0" w:type="auto"/>
          </w:tcPr>
          <w:p w14:paraId="13D26E0A" w14:textId="77777777" w:rsidR="00082598" w:rsidRPr="00654E11" w:rsidRDefault="00082598" w:rsidP="00D7652D">
            <w:pPr>
              <w:jc w:val="both"/>
              <w:rPr>
                <w:sz w:val="16"/>
                <w:szCs w:val="16"/>
              </w:rPr>
            </w:pPr>
          </w:p>
        </w:tc>
      </w:tr>
      <w:tr w:rsidR="00E129A1" w:rsidRPr="003127F2" w14:paraId="3518E15E" w14:textId="77777777" w:rsidTr="00D91B86">
        <w:tc>
          <w:tcPr>
            <w:tcW w:w="1478" w:type="dxa"/>
          </w:tcPr>
          <w:p w14:paraId="5F6B9D3B" w14:textId="65DEC7AF" w:rsidR="00E129A1" w:rsidRPr="00654E11" w:rsidRDefault="007122FA" w:rsidP="00E129A1">
            <w:pPr>
              <w:jc w:val="both"/>
              <w:rPr>
                <w:sz w:val="16"/>
                <w:szCs w:val="16"/>
                <w:lang w:val="nl-BE"/>
              </w:rPr>
            </w:pPr>
            <w:r w:rsidRPr="00AC16E0">
              <w:rPr>
                <w:rFonts w:ascii="Arial" w:hAnsi="Arial" w:cs="Arial"/>
                <w:sz w:val="16"/>
                <w:szCs w:val="16"/>
                <w:lang w:val="nl-BE"/>
              </w:rPr>
              <w:t>[</w:t>
            </w:r>
            <w:proofErr w:type="spellStart"/>
            <w:proofErr w:type="gramStart"/>
            <w:r w:rsidRPr="00AC16E0">
              <w:rPr>
                <w:rFonts w:ascii="Arial" w:hAnsi="Arial" w:cs="Arial"/>
                <w:sz w:val="16"/>
                <w:szCs w:val="16"/>
                <w:lang w:val="nl-BE"/>
              </w:rPr>
              <w:t>anneé</w:t>
            </w:r>
            <w:proofErr w:type="spellEnd"/>
            <w:proofErr w:type="gramEnd"/>
            <w:r w:rsidRPr="00AC16E0">
              <w:rPr>
                <w:rFonts w:ascii="Arial" w:hAnsi="Arial" w:cs="Arial"/>
                <w:sz w:val="16"/>
                <w:szCs w:val="16"/>
                <w:lang w:val="nl-BE"/>
              </w:rPr>
              <w:t xml:space="preserve"> n]</w:t>
            </w:r>
          </w:p>
        </w:tc>
        <w:tc>
          <w:tcPr>
            <w:tcW w:w="1636" w:type="dxa"/>
          </w:tcPr>
          <w:p w14:paraId="3E7BB76D" w14:textId="31AAFAFA" w:rsidR="00E129A1" w:rsidRPr="00654E11" w:rsidRDefault="007122FA" w:rsidP="00E129A1">
            <w:pPr>
              <w:jc w:val="both"/>
              <w:rPr>
                <w:sz w:val="16"/>
                <w:szCs w:val="16"/>
              </w:rPr>
            </w:pPr>
            <w:r w:rsidRPr="00AC16E0">
              <w:rPr>
                <w:rFonts w:ascii="Arial" w:hAnsi="Arial" w:cs="Arial"/>
                <w:sz w:val="16"/>
                <w:szCs w:val="16"/>
              </w:rPr>
              <w:t>[●] MW</w:t>
            </w:r>
          </w:p>
        </w:tc>
        <w:tc>
          <w:tcPr>
            <w:tcW w:w="1559" w:type="dxa"/>
          </w:tcPr>
          <w:p w14:paraId="2B38A604" w14:textId="73F77918" w:rsidR="00E129A1" w:rsidRPr="00654E11" w:rsidRDefault="007122FA" w:rsidP="00E129A1">
            <w:pPr>
              <w:jc w:val="both"/>
              <w:rPr>
                <w:sz w:val="16"/>
                <w:szCs w:val="16"/>
              </w:rPr>
            </w:pPr>
            <w:r w:rsidRPr="00AC16E0">
              <w:rPr>
                <w:rFonts w:ascii="Arial" w:hAnsi="Arial" w:cs="Arial"/>
                <w:sz w:val="16"/>
                <w:szCs w:val="16"/>
              </w:rPr>
              <w:t>[●] MW</w:t>
            </w:r>
          </w:p>
        </w:tc>
        <w:tc>
          <w:tcPr>
            <w:tcW w:w="1843" w:type="dxa"/>
          </w:tcPr>
          <w:p w14:paraId="3745C3FE" w14:textId="7772499A" w:rsidR="00E129A1" w:rsidRPr="00654E11" w:rsidRDefault="007122FA" w:rsidP="00E129A1">
            <w:pPr>
              <w:jc w:val="both"/>
              <w:rPr>
                <w:sz w:val="16"/>
                <w:szCs w:val="16"/>
              </w:rPr>
            </w:pPr>
            <w:r w:rsidRPr="00AC16E0">
              <w:rPr>
                <w:rFonts w:ascii="Arial" w:hAnsi="Arial" w:cs="Arial"/>
                <w:sz w:val="16"/>
                <w:szCs w:val="16"/>
              </w:rPr>
              <w:t>[●] MWh/an</w:t>
            </w:r>
          </w:p>
        </w:tc>
        <w:tc>
          <w:tcPr>
            <w:tcW w:w="2069" w:type="dxa"/>
          </w:tcPr>
          <w:p w14:paraId="0A7CA744" w14:textId="0A17E2C4" w:rsidR="00E129A1" w:rsidRPr="00654E11" w:rsidRDefault="007122FA" w:rsidP="00E129A1">
            <w:pPr>
              <w:jc w:val="both"/>
              <w:rPr>
                <w:sz w:val="16"/>
                <w:szCs w:val="16"/>
              </w:rPr>
            </w:pPr>
            <w:r w:rsidRPr="00AC16E0">
              <w:rPr>
                <w:rFonts w:ascii="Arial" w:hAnsi="Arial" w:cs="Arial"/>
                <w:sz w:val="16"/>
                <w:szCs w:val="16"/>
              </w:rPr>
              <w:t>[●]</w:t>
            </w:r>
          </w:p>
        </w:tc>
        <w:tc>
          <w:tcPr>
            <w:tcW w:w="0" w:type="auto"/>
          </w:tcPr>
          <w:p w14:paraId="6B2993D2" w14:textId="77777777" w:rsidR="00E129A1" w:rsidRPr="00654E11" w:rsidRDefault="00E129A1" w:rsidP="00E129A1">
            <w:pPr>
              <w:jc w:val="both"/>
              <w:rPr>
                <w:sz w:val="16"/>
                <w:szCs w:val="16"/>
              </w:rPr>
            </w:pPr>
          </w:p>
        </w:tc>
      </w:tr>
    </w:tbl>
    <w:p w14:paraId="317BD90A" w14:textId="294F88D4" w:rsidR="0043007E" w:rsidRDefault="0043007E" w:rsidP="00D7652D">
      <w:pPr>
        <w:jc w:val="both"/>
        <w:rPr>
          <w:b/>
          <w:bCs/>
        </w:rPr>
      </w:pPr>
      <w:r>
        <w:rPr>
          <w:rFonts w:ascii="Arial" w:hAnsi="Arial" w:cs="Arial"/>
          <w:sz w:val="20"/>
          <w:szCs w:val="20"/>
        </w:rPr>
        <w:br/>
      </w:r>
    </w:p>
    <w:p w14:paraId="28670F04" w14:textId="42447A15" w:rsidR="000F4917" w:rsidRDefault="00DD72EE" w:rsidP="00D7652D">
      <w:pPr>
        <w:jc w:val="both"/>
        <w:rPr>
          <w:rFonts w:ascii="Arial" w:hAnsi="Arial" w:cs="Arial"/>
          <w:sz w:val="20"/>
          <w:szCs w:val="20"/>
        </w:rPr>
      </w:pPr>
      <w:r w:rsidRPr="001A014E">
        <w:rPr>
          <w:rFonts w:ascii="Arial" w:hAnsi="Arial" w:cs="Arial"/>
          <w:sz w:val="20"/>
          <w:szCs w:val="20"/>
        </w:rPr>
        <w:t xml:space="preserve">Sans qu’elles ne constituent une garantie absolue pour le futur, les prévisions basées sur des données historiques et statistiques en matière de risques d’apparition d’une situation pouvant provoquer la réduction ou l’interruption du prélèvement sont reprises dans </w:t>
      </w:r>
      <w:r w:rsidR="00D7652D">
        <w:rPr>
          <w:rFonts w:ascii="Arial" w:hAnsi="Arial" w:cs="Arial"/>
          <w:sz w:val="20"/>
          <w:szCs w:val="20"/>
        </w:rPr>
        <w:t>l’</w:t>
      </w:r>
      <w:r w:rsidRPr="001A014E">
        <w:rPr>
          <w:rFonts w:ascii="Arial" w:hAnsi="Arial" w:cs="Arial"/>
          <w:sz w:val="20"/>
          <w:szCs w:val="20"/>
        </w:rPr>
        <w:t xml:space="preserve">étude </w:t>
      </w:r>
      <w:r w:rsidR="00EC2745">
        <w:rPr>
          <w:rFonts w:ascii="Arial" w:hAnsi="Arial" w:cs="Arial"/>
          <w:sz w:val="20"/>
          <w:szCs w:val="20"/>
        </w:rPr>
        <w:t>de détail</w:t>
      </w:r>
      <w:r w:rsidR="004D7D49" w:rsidRPr="001A014E">
        <w:rPr>
          <w:rFonts w:ascii="Arial" w:hAnsi="Arial" w:cs="Arial"/>
          <w:sz w:val="20"/>
          <w:szCs w:val="20"/>
        </w:rPr>
        <w:t>.</w:t>
      </w:r>
      <w:r w:rsidR="000D581E" w:rsidRPr="001A014E">
        <w:rPr>
          <w:rFonts w:ascii="Arial" w:hAnsi="Arial" w:cs="Arial"/>
          <w:sz w:val="20"/>
          <w:szCs w:val="20"/>
        </w:rPr>
        <w:t xml:space="preserve"> </w:t>
      </w:r>
    </w:p>
    <w:p w14:paraId="44BB8FEE" w14:textId="551ECE95" w:rsidR="006D2C4A" w:rsidRPr="00B73ECC" w:rsidRDefault="000F4917" w:rsidP="006D2C4A">
      <w:pPr>
        <w:jc w:val="both"/>
        <w:rPr>
          <w:rFonts w:ascii="Arial" w:hAnsi="Arial" w:cs="Arial"/>
          <w:sz w:val="20"/>
          <w:szCs w:val="20"/>
        </w:rPr>
      </w:pPr>
      <w:r w:rsidRPr="00B73ECC">
        <w:rPr>
          <w:rFonts w:ascii="Arial" w:hAnsi="Arial" w:cs="Arial"/>
          <w:sz w:val="20"/>
          <w:szCs w:val="20"/>
        </w:rPr>
        <w:t xml:space="preserve">Les limites </w:t>
      </w:r>
      <w:r w:rsidR="008B5AE1">
        <w:rPr>
          <w:rFonts w:ascii="Arial" w:hAnsi="Arial" w:cs="Arial"/>
          <w:sz w:val="20"/>
          <w:szCs w:val="20"/>
        </w:rPr>
        <w:t xml:space="preserve">suivantes </w:t>
      </w:r>
      <w:r w:rsidRPr="00B73ECC">
        <w:rPr>
          <w:rFonts w:ascii="Arial" w:hAnsi="Arial" w:cs="Arial"/>
          <w:sz w:val="20"/>
          <w:szCs w:val="20"/>
        </w:rPr>
        <w:t xml:space="preserve">reprises dans les tableaux </w:t>
      </w:r>
      <w:r w:rsidRPr="009C5458">
        <w:rPr>
          <w:rFonts w:ascii="Arial" w:hAnsi="Arial" w:cs="Arial"/>
          <w:i/>
          <w:iCs/>
          <w:sz w:val="20"/>
          <w:szCs w:val="20"/>
        </w:rPr>
        <w:t>supra</w:t>
      </w:r>
      <w:r w:rsidR="006D2C4A" w:rsidRPr="009C5458">
        <w:rPr>
          <w:rFonts w:ascii="Arial" w:hAnsi="Arial" w:cs="Arial"/>
          <w:sz w:val="20"/>
          <w:szCs w:val="20"/>
        </w:rPr>
        <w:t xml:space="preserve"> constituent les seuils au-delà desquels une compensation sera appliquée conformément aux dispositions de l’article 26, §2decies lorsque le mécanisme de compensation visé par cet article </w:t>
      </w:r>
      <w:r w:rsidR="00B57017" w:rsidRPr="009C5458">
        <w:rPr>
          <w:rFonts w:ascii="Arial" w:hAnsi="Arial" w:cs="Arial"/>
          <w:sz w:val="20"/>
          <w:szCs w:val="20"/>
        </w:rPr>
        <w:t>aura été arrêté par le Gouvernement wallon</w:t>
      </w:r>
      <w:r w:rsidR="006D2C4A" w:rsidRPr="009C5458">
        <w:rPr>
          <w:rFonts w:ascii="Arial" w:hAnsi="Arial" w:cs="Arial"/>
          <w:sz w:val="20"/>
          <w:szCs w:val="20"/>
        </w:rPr>
        <w:t xml:space="preserve"> et après adaptation du présent contrat</w:t>
      </w:r>
      <w:r w:rsidR="004F5079" w:rsidRPr="00B73ECC">
        <w:rPr>
          <w:rFonts w:ascii="Arial" w:hAnsi="Arial" w:cs="Arial"/>
          <w:sz w:val="20"/>
          <w:szCs w:val="20"/>
        </w:rPr>
        <w:t>:</w:t>
      </w:r>
    </w:p>
    <w:p w14:paraId="05F9DB64" w14:textId="744DC0C3" w:rsidR="000F4917" w:rsidRPr="00B73ECC" w:rsidRDefault="000F4917" w:rsidP="009C5458">
      <w:pPr>
        <w:pStyle w:val="Paragraphedeliste"/>
        <w:numPr>
          <w:ilvl w:val="0"/>
          <w:numId w:val="9"/>
        </w:numPr>
        <w:jc w:val="both"/>
        <w:rPr>
          <w:rFonts w:ascii="Arial" w:hAnsi="Arial" w:cs="Arial"/>
          <w:sz w:val="20"/>
          <w:szCs w:val="20"/>
        </w:rPr>
      </w:pPr>
      <w:r w:rsidRPr="00B73ECC">
        <w:rPr>
          <w:rFonts w:ascii="Arial" w:hAnsi="Arial" w:cs="Arial"/>
          <w:sz w:val="20"/>
          <w:szCs w:val="20"/>
        </w:rPr>
        <w:t xml:space="preserve">les puissances de raccordement ferme et flexible par année pendant et au terme de la période temporaire (tableau 2, colonnes 1 et 2) pour les Installations de Prélèvement autres que les Unités de Stockage d’Électricité, et, </w:t>
      </w:r>
    </w:p>
    <w:p w14:paraId="5D624805" w14:textId="681B811C" w:rsidR="000F4917" w:rsidRPr="009C5458" w:rsidRDefault="000F4917">
      <w:pPr>
        <w:pStyle w:val="Paragraphedeliste"/>
        <w:numPr>
          <w:ilvl w:val="0"/>
          <w:numId w:val="9"/>
        </w:numPr>
        <w:jc w:val="both"/>
        <w:rPr>
          <w:rFonts w:ascii="Arial" w:hAnsi="Arial" w:cs="Arial"/>
          <w:sz w:val="20"/>
          <w:szCs w:val="20"/>
        </w:rPr>
      </w:pPr>
      <w:r w:rsidRPr="00B73ECC">
        <w:rPr>
          <w:rFonts w:ascii="Arial" w:hAnsi="Arial" w:cs="Arial"/>
          <w:sz w:val="20"/>
          <w:szCs w:val="20"/>
        </w:rPr>
        <w:t>le nombre maximal annuel de quarts d’heure d’activation (tableau 2, colonne 4)</w:t>
      </w:r>
      <w:r w:rsidR="00646999" w:rsidRPr="009C5458">
        <w:rPr>
          <w:rFonts w:ascii="Arial" w:hAnsi="Arial" w:cs="Arial"/>
          <w:sz w:val="20"/>
          <w:szCs w:val="20"/>
        </w:rPr>
        <w:t xml:space="preserve"> </w:t>
      </w:r>
      <w:r w:rsidRPr="00B73ECC">
        <w:rPr>
          <w:rFonts w:ascii="Arial" w:hAnsi="Arial" w:cs="Arial"/>
          <w:sz w:val="20"/>
          <w:szCs w:val="20"/>
        </w:rPr>
        <w:t>pour les Unités de Stockage d’Électricité,</w:t>
      </w:r>
    </w:p>
    <w:p w14:paraId="35C3E285" w14:textId="63013C6E" w:rsidR="008371FA" w:rsidRDefault="006A77E2" w:rsidP="00D7652D">
      <w:pPr>
        <w:jc w:val="both"/>
        <w:rPr>
          <w:rFonts w:ascii="Arial" w:hAnsi="Arial" w:cs="Arial"/>
          <w:sz w:val="20"/>
          <w:szCs w:val="20"/>
        </w:rPr>
      </w:pPr>
      <w:r w:rsidRPr="009C5458">
        <w:rPr>
          <w:rFonts w:ascii="Arial" w:hAnsi="Arial" w:cs="Arial"/>
          <w:sz w:val="20"/>
          <w:szCs w:val="20"/>
        </w:rPr>
        <w:t>Toutes les autres limites de ce tableau 2 sont données à titre indicatif.</w:t>
      </w:r>
    </w:p>
    <w:p w14:paraId="200B917D" w14:textId="1DE3EB11" w:rsidR="00473AB4" w:rsidRDefault="007C6198" w:rsidP="00D7652D">
      <w:pPr>
        <w:jc w:val="both"/>
        <w:rPr>
          <w:rFonts w:ascii="Arial" w:hAnsi="Arial" w:cs="Arial"/>
          <w:sz w:val="20"/>
          <w:szCs w:val="20"/>
        </w:rPr>
      </w:pPr>
      <w:r w:rsidRPr="005E1E20">
        <w:rPr>
          <w:rFonts w:ascii="Arial" w:hAnsi="Arial" w:cs="Arial"/>
          <w:sz w:val="20"/>
          <w:szCs w:val="20"/>
        </w:rPr>
        <w:lastRenderedPageBreak/>
        <w:t>L</w:t>
      </w:r>
      <w:r w:rsidR="00396074" w:rsidRPr="005E1E20">
        <w:rPr>
          <w:rFonts w:ascii="Arial" w:hAnsi="Arial" w:cs="Arial"/>
          <w:sz w:val="20"/>
          <w:szCs w:val="20"/>
        </w:rPr>
        <w:t>’</w:t>
      </w:r>
      <w:r w:rsidR="001B0AED" w:rsidRPr="005E1E20">
        <w:rPr>
          <w:rFonts w:ascii="Arial" w:hAnsi="Arial" w:cs="Arial"/>
          <w:sz w:val="20"/>
          <w:szCs w:val="20"/>
        </w:rPr>
        <w:t>U</w:t>
      </w:r>
      <w:r w:rsidR="00396074" w:rsidRPr="005E1E20">
        <w:rPr>
          <w:rFonts w:ascii="Arial" w:hAnsi="Arial" w:cs="Arial"/>
          <w:sz w:val="20"/>
          <w:szCs w:val="20"/>
        </w:rPr>
        <w:t xml:space="preserve">tilisateur du </w:t>
      </w:r>
      <w:r w:rsidR="001B0AED" w:rsidRPr="005E1E20">
        <w:rPr>
          <w:rFonts w:ascii="Arial" w:hAnsi="Arial" w:cs="Arial"/>
          <w:sz w:val="20"/>
          <w:szCs w:val="20"/>
        </w:rPr>
        <w:t>R</w:t>
      </w:r>
      <w:r w:rsidR="00396074" w:rsidRPr="005E1E20">
        <w:rPr>
          <w:rFonts w:ascii="Arial" w:hAnsi="Arial" w:cs="Arial"/>
          <w:sz w:val="20"/>
          <w:szCs w:val="20"/>
        </w:rPr>
        <w:t xml:space="preserve">éseau </w:t>
      </w:r>
      <w:r w:rsidR="002E4B0A" w:rsidRPr="005E1E20">
        <w:rPr>
          <w:rFonts w:ascii="Arial" w:hAnsi="Arial" w:cs="Arial"/>
          <w:sz w:val="20"/>
          <w:szCs w:val="20"/>
        </w:rPr>
        <w:t xml:space="preserve">est tenu d’installer </w:t>
      </w:r>
      <w:r w:rsidR="00396074" w:rsidRPr="005E1E20">
        <w:rPr>
          <w:rFonts w:ascii="Arial" w:hAnsi="Arial" w:cs="Arial"/>
          <w:sz w:val="20"/>
          <w:szCs w:val="20"/>
        </w:rPr>
        <w:t xml:space="preserve">une interface de communication lui permettant de recevoir les consignes d’Elia et de répondre aux consignes de réduction ou d’interruption </w:t>
      </w:r>
      <w:r w:rsidR="006B6696" w:rsidRPr="005E1E20">
        <w:rPr>
          <w:rFonts w:ascii="Arial" w:hAnsi="Arial" w:cs="Arial"/>
          <w:sz w:val="20"/>
          <w:szCs w:val="20"/>
        </w:rPr>
        <w:t>du prélèvement</w:t>
      </w:r>
      <w:r w:rsidR="00396074" w:rsidRPr="005E1E20">
        <w:rPr>
          <w:rFonts w:ascii="Arial" w:hAnsi="Arial" w:cs="Arial"/>
          <w:sz w:val="20"/>
          <w:szCs w:val="20"/>
        </w:rPr>
        <w:t xml:space="preserve"> en vue de prévenir la survenance de congestions sur le réseau. En cas de non-respect des consignes</w:t>
      </w:r>
      <w:r w:rsidR="004A5910" w:rsidRPr="005E1E20">
        <w:rPr>
          <w:rFonts w:ascii="Arial" w:hAnsi="Arial" w:cs="Arial"/>
          <w:sz w:val="20"/>
          <w:szCs w:val="20"/>
        </w:rPr>
        <w:t xml:space="preserve"> et de risque pour la sécurité opérationnelle du réseau</w:t>
      </w:r>
      <w:r w:rsidR="00396074" w:rsidRPr="005E1E20">
        <w:rPr>
          <w:rFonts w:ascii="Arial" w:hAnsi="Arial" w:cs="Arial"/>
          <w:sz w:val="20"/>
          <w:szCs w:val="20"/>
        </w:rPr>
        <w:t xml:space="preserve">, l’accès au réseau de l’unité de </w:t>
      </w:r>
      <w:r w:rsidR="00FB02E7" w:rsidRPr="005E1E20">
        <w:rPr>
          <w:rFonts w:ascii="Arial" w:hAnsi="Arial" w:cs="Arial"/>
          <w:sz w:val="20"/>
          <w:szCs w:val="20"/>
        </w:rPr>
        <w:t>prélèvement</w:t>
      </w:r>
      <w:r w:rsidR="00F80F52" w:rsidRPr="005E1E20">
        <w:rPr>
          <w:rFonts w:ascii="Arial" w:hAnsi="Arial" w:cs="Arial"/>
          <w:sz w:val="20"/>
          <w:szCs w:val="20"/>
        </w:rPr>
        <w:t>, en ce compris les Unités</w:t>
      </w:r>
      <w:r w:rsidR="00D21BE4" w:rsidRPr="005E1E20">
        <w:rPr>
          <w:rFonts w:ascii="Arial" w:hAnsi="Arial" w:cs="Arial"/>
          <w:sz w:val="20"/>
          <w:szCs w:val="20"/>
        </w:rPr>
        <w:t xml:space="preserve"> de </w:t>
      </w:r>
      <w:r w:rsidR="00F80F52" w:rsidRPr="005E1E20">
        <w:rPr>
          <w:rFonts w:ascii="Arial" w:hAnsi="Arial" w:cs="Arial"/>
          <w:sz w:val="20"/>
          <w:szCs w:val="20"/>
        </w:rPr>
        <w:t>S</w:t>
      </w:r>
      <w:r w:rsidR="00D21BE4" w:rsidRPr="005E1E20">
        <w:rPr>
          <w:rFonts w:ascii="Arial" w:hAnsi="Arial" w:cs="Arial"/>
          <w:sz w:val="20"/>
          <w:szCs w:val="20"/>
        </w:rPr>
        <w:t>tockage d’</w:t>
      </w:r>
      <w:r w:rsidR="00F80F52" w:rsidRPr="005E1E20">
        <w:rPr>
          <w:rFonts w:ascii="Arial" w:hAnsi="Arial" w:cs="Arial"/>
          <w:sz w:val="20"/>
          <w:szCs w:val="20"/>
        </w:rPr>
        <w:t>E</w:t>
      </w:r>
      <w:r w:rsidR="00D21BE4" w:rsidRPr="005E1E20">
        <w:rPr>
          <w:rFonts w:ascii="Arial" w:hAnsi="Arial" w:cs="Arial"/>
          <w:sz w:val="20"/>
          <w:szCs w:val="20"/>
        </w:rPr>
        <w:t>lectricité</w:t>
      </w:r>
      <w:r w:rsidR="00F80F52" w:rsidRPr="005E1E20">
        <w:rPr>
          <w:rFonts w:ascii="Arial" w:hAnsi="Arial" w:cs="Arial"/>
          <w:sz w:val="20"/>
          <w:szCs w:val="20"/>
        </w:rPr>
        <w:t>,</w:t>
      </w:r>
      <w:r w:rsidR="00D21BE4" w:rsidRPr="005E1E20">
        <w:rPr>
          <w:rFonts w:ascii="Arial" w:hAnsi="Arial" w:cs="Arial"/>
          <w:sz w:val="20"/>
          <w:szCs w:val="20"/>
        </w:rPr>
        <w:t xml:space="preserve"> </w:t>
      </w:r>
      <w:r w:rsidR="00396074" w:rsidRPr="005E1E20">
        <w:rPr>
          <w:rFonts w:ascii="Arial" w:hAnsi="Arial" w:cs="Arial"/>
          <w:sz w:val="20"/>
          <w:szCs w:val="20"/>
        </w:rPr>
        <w:t>peut être interrompu</w:t>
      </w:r>
      <w:r w:rsidR="00436FCD" w:rsidRPr="005E1E20">
        <w:rPr>
          <w:rFonts w:ascii="Arial" w:hAnsi="Arial" w:cs="Arial"/>
          <w:sz w:val="20"/>
          <w:szCs w:val="20"/>
        </w:rPr>
        <w:t>.</w:t>
      </w:r>
    </w:p>
    <w:p w14:paraId="41AC01C9" w14:textId="77777777" w:rsidR="003C1017" w:rsidRPr="009D0AB3" w:rsidRDefault="003C1017" w:rsidP="003C1017">
      <w:pPr>
        <w:jc w:val="both"/>
        <w:rPr>
          <w:rFonts w:ascii="Arial" w:hAnsi="Arial" w:cs="Arial"/>
          <w:sz w:val="20"/>
          <w:szCs w:val="20"/>
        </w:rPr>
      </w:pPr>
      <w:r w:rsidRPr="00557EDF">
        <w:rPr>
          <w:rFonts w:ascii="Arial" w:hAnsi="Arial" w:cs="Arial"/>
          <w:sz w:val="20"/>
          <w:szCs w:val="20"/>
        </w:rPr>
        <w:t xml:space="preserve">Les tarifs applicables aux capacités fermes et flexibles sont les tarifs de </w:t>
      </w:r>
      <w:r>
        <w:rPr>
          <w:rFonts w:ascii="Arial" w:hAnsi="Arial" w:cs="Arial"/>
          <w:sz w:val="20"/>
          <w:szCs w:val="20"/>
        </w:rPr>
        <w:t>transport</w:t>
      </w:r>
      <w:r w:rsidRPr="00557EDF">
        <w:rPr>
          <w:rFonts w:ascii="Arial" w:hAnsi="Arial" w:cs="Arial"/>
          <w:sz w:val="20"/>
          <w:szCs w:val="20"/>
        </w:rPr>
        <w:t xml:space="preserve"> approuvés par le régulateur. En cas de tarifs différenciés pour la capacité ferme et pour la capacité flexible, ceux-ci sont appliqués respectivement sur base des puissances déterminées dans la présente annexe</w:t>
      </w:r>
    </w:p>
    <w:p w14:paraId="46C11320" w14:textId="01D10C9E" w:rsidR="00E82531" w:rsidRPr="001A014E" w:rsidRDefault="00E82531" w:rsidP="00D7652D">
      <w:pPr>
        <w:jc w:val="both"/>
        <w:rPr>
          <w:rFonts w:ascii="Arial" w:hAnsi="Arial" w:cs="Arial"/>
          <w:sz w:val="20"/>
          <w:szCs w:val="20"/>
        </w:rPr>
      </w:pPr>
    </w:p>
    <w:sectPr w:rsidR="00E82531" w:rsidRPr="001A01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9B3E" w14:textId="77777777" w:rsidR="000424F8" w:rsidRDefault="000424F8" w:rsidP="001E0855">
      <w:pPr>
        <w:spacing w:after="0" w:line="240" w:lineRule="auto"/>
      </w:pPr>
      <w:r>
        <w:separator/>
      </w:r>
    </w:p>
  </w:endnote>
  <w:endnote w:type="continuationSeparator" w:id="0">
    <w:p w14:paraId="3F8D4F7F" w14:textId="77777777" w:rsidR="000424F8" w:rsidRDefault="000424F8" w:rsidP="001E0855">
      <w:pPr>
        <w:spacing w:after="0" w:line="240" w:lineRule="auto"/>
      </w:pPr>
      <w:r>
        <w:continuationSeparator/>
      </w:r>
    </w:p>
  </w:endnote>
  <w:endnote w:type="continuationNotice" w:id="1">
    <w:p w14:paraId="5CEB9B8D" w14:textId="77777777" w:rsidR="000424F8" w:rsidRDefault="00042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9556" w14:textId="77777777" w:rsidR="000424F8" w:rsidRDefault="000424F8" w:rsidP="001E0855">
      <w:pPr>
        <w:spacing w:after="0" w:line="240" w:lineRule="auto"/>
      </w:pPr>
      <w:r>
        <w:separator/>
      </w:r>
    </w:p>
  </w:footnote>
  <w:footnote w:type="continuationSeparator" w:id="0">
    <w:p w14:paraId="7D9B32AD" w14:textId="77777777" w:rsidR="000424F8" w:rsidRDefault="000424F8" w:rsidP="001E0855">
      <w:pPr>
        <w:spacing w:after="0" w:line="240" w:lineRule="auto"/>
      </w:pPr>
      <w:r>
        <w:continuationSeparator/>
      </w:r>
    </w:p>
  </w:footnote>
  <w:footnote w:type="continuationNotice" w:id="1">
    <w:p w14:paraId="402DBF28" w14:textId="77777777" w:rsidR="000424F8" w:rsidRDefault="000424F8">
      <w:pPr>
        <w:spacing w:after="0" w:line="240" w:lineRule="auto"/>
      </w:pPr>
    </w:p>
  </w:footnote>
  <w:footnote w:id="2">
    <w:p w14:paraId="57A66A5B" w14:textId="75BE6D66" w:rsidR="00667EF9" w:rsidRPr="00667EF9" w:rsidRDefault="00667EF9">
      <w:pPr>
        <w:pStyle w:val="Notedebasdepage"/>
      </w:pPr>
      <w:r>
        <w:rPr>
          <w:rStyle w:val="Appelnotedebasdep"/>
        </w:rPr>
        <w:footnoteRef/>
      </w:r>
      <w:r w:rsidR="006A31AC">
        <w:t xml:space="preserve"> T</w:t>
      </w:r>
      <w:r w:rsidR="006A31AC" w:rsidRPr="00141AA3">
        <w:t>els q</w:t>
      </w:r>
      <w:r w:rsidR="006A31AC">
        <w:t>u’</w:t>
      </w:r>
      <w:r w:rsidR="006A31AC" w:rsidRPr="00141AA3">
        <w:t>insérés par le décret adopté le 19 décembre 2025 portant dispositions diverses en matière d’énergie, entré en vigueur le 9 janvier 2026.</w:t>
      </w:r>
      <w:r>
        <w:t xml:space="preserve"> </w:t>
      </w:r>
    </w:p>
  </w:footnote>
  <w:footnote w:id="3">
    <w:p w14:paraId="110F5D96" w14:textId="79CC26B4" w:rsidR="0089005E" w:rsidRPr="0089005E" w:rsidRDefault="0089005E" w:rsidP="00F02690">
      <w:pPr>
        <w:pStyle w:val="Notedebasdepage"/>
      </w:pPr>
      <w:r>
        <w:rPr>
          <w:rStyle w:val="Appelnotedebasdep"/>
        </w:rPr>
        <w:footnoteRef/>
      </w:r>
      <w:r w:rsidR="008D04E9">
        <w:t>Une phase est</w:t>
      </w:r>
      <w:r>
        <w:t xml:space="preserve"> </w:t>
      </w:r>
      <w:r w:rsidR="00F02690">
        <w:t>une période avec des risques de réglage estimés communs par an</w:t>
      </w:r>
    </w:p>
  </w:footnote>
  <w:footnote w:id="4">
    <w:p w14:paraId="33BFECFA" w14:textId="68CF4648" w:rsidR="007B36CB" w:rsidRPr="00EF3CDE" w:rsidRDefault="007B36CB">
      <w:pPr>
        <w:pStyle w:val="Notedebasdepage"/>
      </w:pPr>
      <w:r>
        <w:rPr>
          <w:rStyle w:val="Appelnotedebasdep"/>
        </w:rPr>
        <w:footnoteRef/>
      </w:r>
      <w:r>
        <w:t xml:space="preserve"> Pour une définition de la flexibilité préventive et curative, voir le document « </w:t>
      </w:r>
      <w:proofErr w:type="spellStart"/>
      <w:r>
        <w:t>Grid</w:t>
      </w:r>
      <w:proofErr w:type="spellEnd"/>
      <w:r>
        <w:t xml:space="preserve"> Connection Study </w:t>
      </w:r>
      <w:proofErr w:type="spellStart"/>
      <w:r>
        <w:t>Methodology</w:t>
      </w:r>
      <w:proofErr w:type="spellEnd"/>
      <w:r>
        <w:t xml:space="preserve"> » accessible sur le site internet d’Elia à la page </w:t>
      </w:r>
      <w:hyperlink r:id="rId1" w:history="1">
        <w:r w:rsidRPr="00EF3CDE">
          <w:rPr>
            <w:rStyle w:val="Lienhypertexte"/>
          </w:rPr>
          <w:t>Se raccorder à notre réseau</w:t>
        </w:r>
      </w:hyperlink>
    </w:p>
  </w:footnote>
  <w:footnote w:id="5">
    <w:p w14:paraId="06AD3AB2" w14:textId="60E234F0" w:rsidR="00082598" w:rsidRPr="008301EB" w:rsidRDefault="00082598" w:rsidP="00082598">
      <w:pPr>
        <w:pStyle w:val="Notedebasdepage"/>
      </w:pPr>
      <w:r>
        <w:rPr>
          <w:rStyle w:val="Appelnotedebasdep"/>
        </w:rPr>
        <w:footnoteRef/>
      </w:r>
      <w:r>
        <w:t xml:space="preserve"> Uniquement pour </w:t>
      </w:r>
      <w:r w:rsidR="002329C4">
        <w:t xml:space="preserve">les </w:t>
      </w:r>
      <w:r w:rsidR="00BD7BA2" w:rsidRPr="00C56912">
        <w:t>Unités de Stockage d’Electricité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DF1"/>
    <w:multiLevelType w:val="hybridMultilevel"/>
    <w:tmpl w:val="60B0D65E"/>
    <w:lvl w:ilvl="0" w:tplc="6ED0AA62">
      <w:start w:val="1"/>
      <w:numFmt w:val="decimal"/>
      <w:lvlText w:val="%1)"/>
      <w:lvlJc w:val="left"/>
      <w:pPr>
        <w:ind w:left="1020" w:hanging="360"/>
      </w:pPr>
    </w:lvl>
    <w:lvl w:ilvl="1" w:tplc="239EE634">
      <w:start w:val="1"/>
      <w:numFmt w:val="decimal"/>
      <w:lvlText w:val="%2)"/>
      <w:lvlJc w:val="left"/>
      <w:pPr>
        <w:ind w:left="1020" w:hanging="360"/>
      </w:pPr>
    </w:lvl>
    <w:lvl w:ilvl="2" w:tplc="03D69F42">
      <w:start w:val="1"/>
      <w:numFmt w:val="decimal"/>
      <w:lvlText w:val="%3)"/>
      <w:lvlJc w:val="left"/>
      <w:pPr>
        <w:ind w:left="1020" w:hanging="360"/>
      </w:pPr>
    </w:lvl>
    <w:lvl w:ilvl="3" w:tplc="5434B326">
      <w:start w:val="1"/>
      <w:numFmt w:val="decimal"/>
      <w:lvlText w:val="%4)"/>
      <w:lvlJc w:val="left"/>
      <w:pPr>
        <w:ind w:left="1020" w:hanging="360"/>
      </w:pPr>
    </w:lvl>
    <w:lvl w:ilvl="4" w:tplc="2D42B87E">
      <w:start w:val="1"/>
      <w:numFmt w:val="decimal"/>
      <w:lvlText w:val="%5)"/>
      <w:lvlJc w:val="left"/>
      <w:pPr>
        <w:ind w:left="1020" w:hanging="360"/>
      </w:pPr>
    </w:lvl>
    <w:lvl w:ilvl="5" w:tplc="33989732">
      <w:start w:val="1"/>
      <w:numFmt w:val="decimal"/>
      <w:lvlText w:val="%6)"/>
      <w:lvlJc w:val="left"/>
      <w:pPr>
        <w:ind w:left="1020" w:hanging="360"/>
      </w:pPr>
    </w:lvl>
    <w:lvl w:ilvl="6" w:tplc="DCCE5FFA">
      <w:start w:val="1"/>
      <w:numFmt w:val="decimal"/>
      <w:lvlText w:val="%7)"/>
      <w:lvlJc w:val="left"/>
      <w:pPr>
        <w:ind w:left="1020" w:hanging="360"/>
      </w:pPr>
    </w:lvl>
    <w:lvl w:ilvl="7" w:tplc="541414D0">
      <w:start w:val="1"/>
      <w:numFmt w:val="decimal"/>
      <w:lvlText w:val="%8)"/>
      <w:lvlJc w:val="left"/>
      <w:pPr>
        <w:ind w:left="1020" w:hanging="360"/>
      </w:pPr>
    </w:lvl>
    <w:lvl w:ilvl="8" w:tplc="D77A0062">
      <w:start w:val="1"/>
      <w:numFmt w:val="decimal"/>
      <w:lvlText w:val="%9)"/>
      <w:lvlJc w:val="left"/>
      <w:pPr>
        <w:ind w:left="1020" w:hanging="360"/>
      </w:pPr>
    </w:lvl>
  </w:abstractNum>
  <w:abstractNum w:abstractNumId="1" w15:restartNumberingAfterBreak="0">
    <w:nsid w:val="0E406410"/>
    <w:multiLevelType w:val="multilevel"/>
    <w:tmpl w:val="04C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245F9"/>
    <w:multiLevelType w:val="multilevel"/>
    <w:tmpl w:val="690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7304B"/>
    <w:multiLevelType w:val="hybridMultilevel"/>
    <w:tmpl w:val="D7FC7220"/>
    <w:lvl w:ilvl="0" w:tplc="9AE4976C">
      <w:start w:val="1"/>
      <w:numFmt w:val="decimal"/>
      <w:lvlText w:val="%1)"/>
      <w:lvlJc w:val="left"/>
      <w:pPr>
        <w:ind w:left="1020" w:hanging="360"/>
      </w:pPr>
    </w:lvl>
    <w:lvl w:ilvl="1" w:tplc="9F54F356">
      <w:start w:val="1"/>
      <w:numFmt w:val="decimal"/>
      <w:lvlText w:val="%2)"/>
      <w:lvlJc w:val="left"/>
      <w:pPr>
        <w:ind w:left="1020" w:hanging="360"/>
      </w:pPr>
    </w:lvl>
    <w:lvl w:ilvl="2" w:tplc="E604C728">
      <w:start w:val="1"/>
      <w:numFmt w:val="decimal"/>
      <w:lvlText w:val="%3)"/>
      <w:lvlJc w:val="left"/>
      <w:pPr>
        <w:ind w:left="1020" w:hanging="360"/>
      </w:pPr>
    </w:lvl>
    <w:lvl w:ilvl="3" w:tplc="C91854D8">
      <w:start w:val="1"/>
      <w:numFmt w:val="decimal"/>
      <w:lvlText w:val="%4)"/>
      <w:lvlJc w:val="left"/>
      <w:pPr>
        <w:ind w:left="1020" w:hanging="360"/>
      </w:pPr>
    </w:lvl>
    <w:lvl w:ilvl="4" w:tplc="4C76BB1A">
      <w:start w:val="1"/>
      <w:numFmt w:val="decimal"/>
      <w:lvlText w:val="%5)"/>
      <w:lvlJc w:val="left"/>
      <w:pPr>
        <w:ind w:left="1020" w:hanging="360"/>
      </w:pPr>
    </w:lvl>
    <w:lvl w:ilvl="5" w:tplc="7D2C72C8">
      <w:start w:val="1"/>
      <w:numFmt w:val="decimal"/>
      <w:lvlText w:val="%6)"/>
      <w:lvlJc w:val="left"/>
      <w:pPr>
        <w:ind w:left="1020" w:hanging="360"/>
      </w:pPr>
    </w:lvl>
    <w:lvl w:ilvl="6" w:tplc="BC8E1E40">
      <w:start w:val="1"/>
      <w:numFmt w:val="decimal"/>
      <w:lvlText w:val="%7)"/>
      <w:lvlJc w:val="left"/>
      <w:pPr>
        <w:ind w:left="1020" w:hanging="360"/>
      </w:pPr>
    </w:lvl>
    <w:lvl w:ilvl="7" w:tplc="FC3ACD52">
      <w:start w:val="1"/>
      <w:numFmt w:val="decimal"/>
      <w:lvlText w:val="%8)"/>
      <w:lvlJc w:val="left"/>
      <w:pPr>
        <w:ind w:left="1020" w:hanging="360"/>
      </w:pPr>
    </w:lvl>
    <w:lvl w:ilvl="8" w:tplc="45A66114">
      <w:start w:val="1"/>
      <w:numFmt w:val="decimal"/>
      <w:lvlText w:val="%9)"/>
      <w:lvlJc w:val="left"/>
      <w:pPr>
        <w:ind w:left="1020" w:hanging="360"/>
      </w:pPr>
    </w:lvl>
  </w:abstractNum>
  <w:abstractNum w:abstractNumId="4" w15:restartNumberingAfterBreak="0">
    <w:nsid w:val="2A0549F6"/>
    <w:multiLevelType w:val="hybridMultilevel"/>
    <w:tmpl w:val="38E2B53E"/>
    <w:lvl w:ilvl="0" w:tplc="83FA9D4A">
      <w:start w:val="1"/>
      <w:numFmt w:val="decimal"/>
      <w:lvlText w:val="%1)"/>
      <w:lvlJc w:val="left"/>
      <w:pPr>
        <w:ind w:left="1020" w:hanging="360"/>
      </w:pPr>
    </w:lvl>
    <w:lvl w:ilvl="1" w:tplc="B3E6FEAA">
      <w:start w:val="1"/>
      <w:numFmt w:val="decimal"/>
      <w:lvlText w:val="%2)"/>
      <w:lvlJc w:val="left"/>
      <w:pPr>
        <w:ind w:left="1020" w:hanging="360"/>
      </w:pPr>
    </w:lvl>
    <w:lvl w:ilvl="2" w:tplc="4336C2F4">
      <w:start w:val="1"/>
      <w:numFmt w:val="decimal"/>
      <w:lvlText w:val="%3)"/>
      <w:lvlJc w:val="left"/>
      <w:pPr>
        <w:ind w:left="1020" w:hanging="360"/>
      </w:pPr>
    </w:lvl>
    <w:lvl w:ilvl="3" w:tplc="82348AA6">
      <w:start w:val="1"/>
      <w:numFmt w:val="decimal"/>
      <w:lvlText w:val="%4)"/>
      <w:lvlJc w:val="left"/>
      <w:pPr>
        <w:ind w:left="1020" w:hanging="360"/>
      </w:pPr>
    </w:lvl>
    <w:lvl w:ilvl="4" w:tplc="782A73E8">
      <w:start w:val="1"/>
      <w:numFmt w:val="decimal"/>
      <w:lvlText w:val="%5)"/>
      <w:lvlJc w:val="left"/>
      <w:pPr>
        <w:ind w:left="1020" w:hanging="360"/>
      </w:pPr>
    </w:lvl>
    <w:lvl w:ilvl="5" w:tplc="EFA64C16">
      <w:start w:val="1"/>
      <w:numFmt w:val="decimal"/>
      <w:lvlText w:val="%6)"/>
      <w:lvlJc w:val="left"/>
      <w:pPr>
        <w:ind w:left="1020" w:hanging="360"/>
      </w:pPr>
    </w:lvl>
    <w:lvl w:ilvl="6" w:tplc="51C6A788">
      <w:start w:val="1"/>
      <w:numFmt w:val="decimal"/>
      <w:lvlText w:val="%7)"/>
      <w:lvlJc w:val="left"/>
      <w:pPr>
        <w:ind w:left="1020" w:hanging="360"/>
      </w:pPr>
    </w:lvl>
    <w:lvl w:ilvl="7" w:tplc="AEE62E6C">
      <w:start w:val="1"/>
      <w:numFmt w:val="decimal"/>
      <w:lvlText w:val="%8)"/>
      <w:lvlJc w:val="left"/>
      <w:pPr>
        <w:ind w:left="1020" w:hanging="360"/>
      </w:pPr>
    </w:lvl>
    <w:lvl w:ilvl="8" w:tplc="3F8AF8F6">
      <w:start w:val="1"/>
      <w:numFmt w:val="decimal"/>
      <w:lvlText w:val="%9)"/>
      <w:lvlJc w:val="left"/>
      <w:pPr>
        <w:ind w:left="1020" w:hanging="360"/>
      </w:pPr>
    </w:lvl>
  </w:abstractNum>
  <w:abstractNum w:abstractNumId="5" w15:restartNumberingAfterBreak="0">
    <w:nsid w:val="3B520B0B"/>
    <w:multiLevelType w:val="multilevel"/>
    <w:tmpl w:val="C00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D1862"/>
    <w:multiLevelType w:val="hybridMultilevel"/>
    <w:tmpl w:val="51CEC8C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61B34E30"/>
    <w:multiLevelType w:val="hybridMultilevel"/>
    <w:tmpl w:val="D4B80E46"/>
    <w:lvl w:ilvl="0" w:tplc="2DB4D7D0">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C8F0B01"/>
    <w:multiLevelType w:val="multilevel"/>
    <w:tmpl w:val="9EC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C6643"/>
    <w:multiLevelType w:val="multilevel"/>
    <w:tmpl w:val="BE9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8954903">
    <w:abstractNumId w:val="8"/>
  </w:num>
  <w:num w:numId="2" w16cid:durableId="817111794">
    <w:abstractNumId w:val="1"/>
  </w:num>
  <w:num w:numId="3" w16cid:durableId="1170213041">
    <w:abstractNumId w:val="5"/>
  </w:num>
  <w:num w:numId="4" w16cid:durableId="1879512642">
    <w:abstractNumId w:val="2"/>
  </w:num>
  <w:num w:numId="5" w16cid:durableId="1854028166">
    <w:abstractNumId w:val="9"/>
  </w:num>
  <w:num w:numId="6" w16cid:durableId="996499425">
    <w:abstractNumId w:val="4"/>
  </w:num>
  <w:num w:numId="7" w16cid:durableId="1224177145">
    <w:abstractNumId w:val="3"/>
  </w:num>
  <w:num w:numId="8" w16cid:durableId="659772282">
    <w:abstractNumId w:val="6"/>
  </w:num>
  <w:num w:numId="9" w16cid:durableId="1654220336">
    <w:abstractNumId w:val="7"/>
  </w:num>
  <w:num w:numId="10" w16cid:durableId="199152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85"/>
    <w:rsid w:val="00000AD6"/>
    <w:rsid w:val="0000423E"/>
    <w:rsid w:val="000067EE"/>
    <w:rsid w:val="00010D85"/>
    <w:rsid w:val="00012DB6"/>
    <w:rsid w:val="000139A4"/>
    <w:rsid w:val="00014680"/>
    <w:rsid w:val="000207F2"/>
    <w:rsid w:val="000239CA"/>
    <w:rsid w:val="00023A2E"/>
    <w:rsid w:val="00023F3B"/>
    <w:rsid w:val="00024C69"/>
    <w:rsid w:val="00026311"/>
    <w:rsid w:val="0002644A"/>
    <w:rsid w:val="00033A1A"/>
    <w:rsid w:val="00034A03"/>
    <w:rsid w:val="00036281"/>
    <w:rsid w:val="00040857"/>
    <w:rsid w:val="00041828"/>
    <w:rsid w:val="00041BBF"/>
    <w:rsid w:val="00041E68"/>
    <w:rsid w:val="000424F8"/>
    <w:rsid w:val="00043530"/>
    <w:rsid w:val="00045697"/>
    <w:rsid w:val="00051EE7"/>
    <w:rsid w:val="00053BD0"/>
    <w:rsid w:val="000551B6"/>
    <w:rsid w:val="000556F1"/>
    <w:rsid w:val="000560A9"/>
    <w:rsid w:val="00060F23"/>
    <w:rsid w:val="00063A1D"/>
    <w:rsid w:val="000642C7"/>
    <w:rsid w:val="000705FD"/>
    <w:rsid w:val="000739C2"/>
    <w:rsid w:val="00074AA0"/>
    <w:rsid w:val="0007762C"/>
    <w:rsid w:val="000807D3"/>
    <w:rsid w:val="00080B64"/>
    <w:rsid w:val="00082598"/>
    <w:rsid w:val="00083FD8"/>
    <w:rsid w:val="000850AC"/>
    <w:rsid w:val="0008734F"/>
    <w:rsid w:val="00090343"/>
    <w:rsid w:val="00092DF1"/>
    <w:rsid w:val="000975FF"/>
    <w:rsid w:val="000A2F57"/>
    <w:rsid w:val="000A3934"/>
    <w:rsid w:val="000A3AC0"/>
    <w:rsid w:val="000A3D26"/>
    <w:rsid w:val="000A5B53"/>
    <w:rsid w:val="000B177A"/>
    <w:rsid w:val="000B2649"/>
    <w:rsid w:val="000B5586"/>
    <w:rsid w:val="000B6A6A"/>
    <w:rsid w:val="000B7595"/>
    <w:rsid w:val="000C1478"/>
    <w:rsid w:val="000C26F7"/>
    <w:rsid w:val="000C3333"/>
    <w:rsid w:val="000C35C7"/>
    <w:rsid w:val="000C6249"/>
    <w:rsid w:val="000D0058"/>
    <w:rsid w:val="000D226E"/>
    <w:rsid w:val="000D23BA"/>
    <w:rsid w:val="000D2B14"/>
    <w:rsid w:val="000D2C33"/>
    <w:rsid w:val="000D350B"/>
    <w:rsid w:val="000D45B3"/>
    <w:rsid w:val="000D5644"/>
    <w:rsid w:val="000D581E"/>
    <w:rsid w:val="000D5ABE"/>
    <w:rsid w:val="000D7171"/>
    <w:rsid w:val="000E5E50"/>
    <w:rsid w:val="000F00CA"/>
    <w:rsid w:val="000F09EA"/>
    <w:rsid w:val="000F461A"/>
    <w:rsid w:val="000F4917"/>
    <w:rsid w:val="000F667D"/>
    <w:rsid w:val="001005B0"/>
    <w:rsid w:val="0010617D"/>
    <w:rsid w:val="00110EBD"/>
    <w:rsid w:val="00111402"/>
    <w:rsid w:val="00112BEB"/>
    <w:rsid w:val="00112E47"/>
    <w:rsid w:val="00116084"/>
    <w:rsid w:val="00117B1B"/>
    <w:rsid w:val="00122378"/>
    <w:rsid w:val="001264D2"/>
    <w:rsid w:val="001266D5"/>
    <w:rsid w:val="00127203"/>
    <w:rsid w:val="00133295"/>
    <w:rsid w:val="00134F4B"/>
    <w:rsid w:val="00136644"/>
    <w:rsid w:val="00141AA3"/>
    <w:rsid w:val="00142A0F"/>
    <w:rsid w:val="00142D1C"/>
    <w:rsid w:val="00142DCA"/>
    <w:rsid w:val="00143AD7"/>
    <w:rsid w:val="00144B72"/>
    <w:rsid w:val="001464FB"/>
    <w:rsid w:val="001470F5"/>
    <w:rsid w:val="001508C2"/>
    <w:rsid w:val="00150F0C"/>
    <w:rsid w:val="00152BEF"/>
    <w:rsid w:val="00153005"/>
    <w:rsid w:val="0015497F"/>
    <w:rsid w:val="0015593A"/>
    <w:rsid w:val="0016026C"/>
    <w:rsid w:val="00164C1B"/>
    <w:rsid w:val="00165070"/>
    <w:rsid w:val="001716E5"/>
    <w:rsid w:val="00172851"/>
    <w:rsid w:val="0017302D"/>
    <w:rsid w:val="00173874"/>
    <w:rsid w:val="00175A0F"/>
    <w:rsid w:val="0017719B"/>
    <w:rsid w:val="0018133A"/>
    <w:rsid w:val="001815CB"/>
    <w:rsid w:val="00181C7C"/>
    <w:rsid w:val="0018278E"/>
    <w:rsid w:val="0018338F"/>
    <w:rsid w:val="00184991"/>
    <w:rsid w:val="00185F29"/>
    <w:rsid w:val="00186E13"/>
    <w:rsid w:val="00186F84"/>
    <w:rsid w:val="00187F4B"/>
    <w:rsid w:val="00190488"/>
    <w:rsid w:val="001917DB"/>
    <w:rsid w:val="0019187B"/>
    <w:rsid w:val="00193966"/>
    <w:rsid w:val="00193DBC"/>
    <w:rsid w:val="001957C2"/>
    <w:rsid w:val="001A014E"/>
    <w:rsid w:val="001A1D51"/>
    <w:rsid w:val="001A35E2"/>
    <w:rsid w:val="001A3D35"/>
    <w:rsid w:val="001A458D"/>
    <w:rsid w:val="001A5302"/>
    <w:rsid w:val="001A6C1A"/>
    <w:rsid w:val="001B0AED"/>
    <w:rsid w:val="001B1B07"/>
    <w:rsid w:val="001B266F"/>
    <w:rsid w:val="001B7232"/>
    <w:rsid w:val="001C1E39"/>
    <w:rsid w:val="001C446A"/>
    <w:rsid w:val="001C753D"/>
    <w:rsid w:val="001C7F78"/>
    <w:rsid w:val="001D7366"/>
    <w:rsid w:val="001E02F8"/>
    <w:rsid w:val="001E0855"/>
    <w:rsid w:val="001E2CB5"/>
    <w:rsid w:val="001E6DFD"/>
    <w:rsid w:val="001E7674"/>
    <w:rsid w:val="001F0400"/>
    <w:rsid w:val="001F05EB"/>
    <w:rsid w:val="001F06C4"/>
    <w:rsid w:val="001F2568"/>
    <w:rsid w:val="001F2E0E"/>
    <w:rsid w:val="001F3461"/>
    <w:rsid w:val="001F3649"/>
    <w:rsid w:val="001F38D3"/>
    <w:rsid w:val="001F4D1E"/>
    <w:rsid w:val="001F6135"/>
    <w:rsid w:val="001F71CF"/>
    <w:rsid w:val="001F768E"/>
    <w:rsid w:val="001F76AF"/>
    <w:rsid w:val="001F7FD4"/>
    <w:rsid w:val="0020008A"/>
    <w:rsid w:val="00200388"/>
    <w:rsid w:val="00200849"/>
    <w:rsid w:val="00201C20"/>
    <w:rsid w:val="002033BD"/>
    <w:rsid w:val="002046B1"/>
    <w:rsid w:val="00210070"/>
    <w:rsid w:val="002113A3"/>
    <w:rsid w:val="00212347"/>
    <w:rsid w:val="00216FDB"/>
    <w:rsid w:val="00217FA1"/>
    <w:rsid w:val="002250C9"/>
    <w:rsid w:val="00225654"/>
    <w:rsid w:val="0022651E"/>
    <w:rsid w:val="00227520"/>
    <w:rsid w:val="002329C4"/>
    <w:rsid w:val="002411EF"/>
    <w:rsid w:val="00247589"/>
    <w:rsid w:val="00247918"/>
    <w:rsid w:val="00247E16"/>
    <w:rsid w:val="00247FE0"/>
    <w:rsid w:val="002535C8"/>
    <w:rsid w:val="00253A39"/>
    <w:rsid w:val="00256817"/>
    <w:rsid w:val="002609AC"/>
    <w:rsid w:val="00263BD0"/>
    <w:rsid w:val="00264CB1"/>
    <w:rsid w:val="00266940"/>
    <w:rsid w:val="002673A9"/>
    <w:rsid w:val="00273AD9"/>
    <w:rsid w:val="00274641"/>
    <w:rsid w:val="00276633"/>
    <w:rsid w:val="00277F58"/>
    <w:rsid w:val="002836D9"/>
    <w:rsid w:val="00283A9B"/>
    <w:rsid w:val="00284B37"/>
    <w:rsid w:val="002853D4"/>
    <w:rsid w:val="002907D8"/>
    <w:rsid w:val="002949A1"/>
    <w:rsid w:val="00295FEF"/>
    <w:rsid w:val="00296FA3"/>
    <w:rsid w:val="0029766D"/>
    <w:rsid w:val="002A0476"/>
    <w:rsid w:val="002A0A78"/>
    <w:rsid w:val="002A2744"/>
    <w:rsid w:val="002A3CAA"/>
    <w:rsid w:val="002A5EE1"/>
    <w:rsid w:val="002A791E"/>
    <w:rsid w:val="002A7E35"/>
    <w:rsid w:val="002B0451"/>
    <w:rsid w:val="002B0C84"/>
    <w:rsid w:val="002B0EA9"/>
    <w:rsid w:val="002B244D"/>
    <w:rsid w:val="002B4CFC"/>
    <w:rsid w:val="002B66D3"/>
    <w:rsid w:val="002B7A47"/>
    <w:rsid w:val="002C31AE"/>
    <w:rsid w:val="002C324F"/>
    <w:rsid w:val="002C357F"/>
    <w:rsid w:val="002C526F"/>
    <w:rsid w:val="002D0EFA"/>
    <w:rsid w:val="002D1C15"/>
    <w:rsid w:val="002D260B"/>
    <w:rsid w:val="002D27F2"/>
    <w:rsid w:val="002D3D6F"/>
    <w:rsid w:val="002D7834"/>
    <w:rsid w:val="002D7C28"/>
    <w:rsid w:val="002E0148"/>
    <w:rsid w:val="002E0C68"/>
    <w:rsid w:val="002E4B0A"/>
    <w:rsid w:val="002E5492"/>
    <w:rsid w:val="002F1395"/>
    <w:rsid w:val="002F17D2"/>
    <w:rsid w:val="002F2713"/>
    <w:rsid w:val="002F3384"/>
    <w:rsid w:val="002F539B"/>
    <w:rsid w:val="002F5972"/>
    <w:rsid w:val="002F7385"/>
    <w:rsid w:val="002F7503"/>
    <w:rsid w:val="002F7E20"/>
    <w:rsid w:val="003012E1"/>
    <w:rsid w:val="00302F7F"/>
    <w:rsid w:val="0030327A"/>
    <w:rsid w:val="00304472"/>
    <w:rsid w:val="00305877"/>
    <w:rsid w:val="003059F0"/>
    <w:rsid w:val="00306AC9"/>
    <w:rsid w:val="00310C58"/>
    <w:rsid w:val="0031327D"/>
    <w:rsid w:val="00313350"/>
    <w:rsid w:val="003134E6"/>
    <w:rsid w:val="00315EEA"/>
    <w:rsid w:val="00320788"/>
    <w:rsid w:val="00321134"/>
    <w:rsid w:val="00324DFA"/>
    <w:rsid w:val="0032564F"/>
    <w:rsid w:val="00327C3D"/>
    <w:rsid w:val="00327E2D"/>
    <w:rsid w:val="00327F25"/>
    <w:rsid w:val="00330A0C"/>
    <w:rsid w:val="003315D2"/>
    <w:rsid w:val="00334801"/>
    <w:rsid w:val="003348FB"/>
    <w:rsid w:val="00336953"/>
    <w:rsid w:val="0034175A"/>
    <w:rsid w:val="00342249"/>
    <w:rsid w:val="00345F07"/>
    <w:rsid w:val="00346D4F"/>
    <w:rsid w:val="00346DD6"/>
    <w:rsid w:val="00351995"/>
    <w:rsid w:val="00351A1F"/>
    <w:rsid w:val="003523D7"/>
    <w:rsid w:val="00352B01"/>
    <w:rsid w:val="00353C66"/>
    <w:rsid w:val="00355AB0"/>
    <w:rsid w:val="003568AB"/>
    <w:rsid w:val="00356CF4"/>
    <w:rsid w:val="00360FEF"/>
    <w:rsid w:val="00362722"/>
    <w:rsid w:val="0036433D"/>
    <w:rsid w:val="0036605A"/>
    <w:rsid w:val="0037123C"/>
    <w:rsid w:val="00375D8E"/>
    <w:rsid w:val="003760C3"/>
    <w:rsid w:val="00376E7C"/>
    <w:rsid w:val="00383889"/>
    <w:rsid w:val="00383A1D"/>
    <w:rsid w:val="00383D55"/>
    <w:rsid w:val="00385C4E"/>
    <w:rsid w:val="00386C34"/>
    <w:rsid w:val="0039064B"/>
    <w:rsid w:val="003920CA"/>
    <w:rsid w:val="00395E79"/>
    <w:rsid w:val="00396074"/>
    <w:rsid w:val="0039711A"/>
    <w:rsid w:val="003979CC"/>
    <w:rsid w:val="003A4824"/>
    <w:rsid w:val="003A4A85"/>
    <w:rsid w:val="003A765D"/>
    <w:rsid w:val="003B2192"/>
    <w:rsid w:val="003B2FF1"/>
    <w:rsid w:val="003B3936"/>
    <w:rsid w:val="003B40AC"/>
    <w:rsid w:val="003B448A"/>
    <w:rsid w:val="003B448F"/>
    <w:rsid w:val="003B7EB0"/>
    <w:rsid w:val="003C1017"/>
    <w:rsid w:val="003C44E0"/>
    <w:rsid w:val="003C4627"/>
    <w:rsid w:val="003C5510"/>
    <w:rsid w:val="003C5571"/>
    <w:rsid w:val="003D3387"/>
    <w:rsid w:val="003D59D7"/>
    <w:rsid w:val="003D5A60"/>
    <w:rsid w:val="003D637E"/>
    <w:rsid w:val="003D6870"/>
    <w:rsid w:val="003E2091"/>
    <w:rsid w:val="003E360A"/>
    <w:rsid w:val="003E791E"/>
    <w:rsid w:val="003F1CEB"/>
    <w:rsid w:val="003F42E0"/>
    <w:rsid w:val="0040055E"/>
    <w:rsid w:val="004022C4"/>
    <w:rsid w:val="0040421C"/>
    <w:rsid w:val="00410175"/>
    <w:rsid w:val="004113A2"/>
    <w:rsid w:val="00416E0F"/>
    <w:rsid w:val="004203A9"/>
    <w:rsid w:val="00421023"/>
    <w:rsid w:val="00422D20"/>
    <w:rsid w:val="00423E5D"/>
    <w:rsid w:val="00423F6F"/>
    <w:rsid w:val="00425057"/>
    <w:rsid w:val="00425FC5"/>
    <w:rsid w:val="00426056"/>
    <w:rsid w:val="00426AD8"/>
    <w:rsid w:val="00427969"/>
    <w:rsid w:val="0043007E"/>
    <w:rsid w:val="004304A7"/>
    <w:rsid w:val="004305F1"/>
    <w:rsid w:val="00431618"/>
    <w:rsid w:val="0043265A"/>
    <w:rsid w:val="00436D22"/>
    <w:rsid w:val="00436FCD"/>
    <w:rsid w:val="004379E3"/>
    <w:rsid w:val="00440CC9"/>
    <w:rsid w:val="004410E9"/>
    <w:rsid w:val="004415B0"/>
    <w:rsid w:val="00441F27"/>
    <w:rsid w:val="004428E0"/>
    <w:rsid w:val="0044350B"/>
    <w:rsid w:val="0044388B"/>
    <w:rsid w:val="00444FAC"/>
    <w:rsid w:val="0044524F"/>
    <w:rsid w:val="00451E7D"/>
    <w:rsid w:val="00455FE9"/>
    <w:rsid w:val="00460F68"/>
    <w:rsid w:val="00461CB8"/>
    <w:rsid w:val="00461E63"/>
    <w:rsid w:val="004621E0"/>
    <w:rsid w:val="00471232"/>
    <w:rsid w:val="004718E6"/>
    <w:rsid w:val="00473AB4"/>
    <w:rsid w:val="00475F99"/>
    <w:rsid w:val="00483346"/>
    <w:rsid w:val="00483927"/>
    <w:rsid w:val="00483D97"/>
    <w:rsid w:val="00487429"/>
    <w:rsid w:val="00487980"/>
    <w:rsid w:val="004925BF"/>
    <w:rsid w:val="0049633D"/>
    <w:rsid w:val="00496E58"/>
    <w:rsid w:val="004972E7"/>
    <w:rsid w:val="004A1962"/>
    <w:rsid w:val="004A1E6F"/>
    <w:rsid w:val="004A4C5B"/>
    <w:rsid w:val="004A541D"/>
    <w:rsid w:val="004A55DF"/>
    <w:rsid w:val="004A5910"/>
    <w:rsid w:val="004A7BEF"/>
    <w:rsid w:val="004B1B4F"/>
    <w:rsid w:val="004B1B61"/>
    <w:rsid w:val="004B7638"/>
    <w:rsid w:val="004C05C9"/>
    <w:rsid w:val="004C11FA"/>
    <w:rsid w:val="004C2F03"/>
    <w:rsid w:val="004C3FAB"/>
    <w:rsid w:val="004C6911"/>
    <w:rsid w:val="004D005E"/>
    <w:rsid w:val="004D1C1A"/>
    <w:rsid w:val="004D1CDC"/>
    <w:rsid w:val="004D46DE"/>
    <w:rsid w:val="004D5B78"/>
    <w:rsid w:val="004D6F45"/>
    <w:rsid w:val="004D723B"/>
    <w:rsid w:val="004D7715"/>
    <w:rsid w:val="004D7D49"/>
    <w:rsid w:val="004E096E"/>
    <w:rsid w:val="004E1039"/>
    <w:rsid w:val="004E2606"/>
    <w:rsid w:val="004E27F4"/>
    <w:rsid w:val="004E2E63"/>
    <w:rsid w:val="004E4F51"/>
    <w:rsid w:val="004E5861"/>
    <w:rsid w:val="004E71B3"/>
    <w:rsid w:val="004F5079"/>
    <w:rsid w:val="004F6659"/>
    <w:rsid w:val="004F67D8"/>
    <w:rsid w:val="004F7F67"/>
    <w:rsid w:val="0050270B"/>
    <w:rsid w:val="00503C68"/>
    <w:rsid w:val="005046A3"/>
    <w:rsid w:val="005060B2"/>
    <w:rsid w:val="005110CB"/>
    <w:rsid w:val="00511C6E"/>
    <w:rsid w:val="00511DC1"/>
    <w:rsid w:val="00512473"/>
    <w:rsid w:val="0051650A"/>
    <w:rsid w:val="00516586"/>
    <w:rsid w:val="00520D32"/>
    <w:rsid w:val="005210FD"/>
    <w:rsid w:val="005226C1"/>
    <w:rsid w:val="00523A40"/>
    <w:rsid w:val="00524DF9"/>
    <w:rsid w:val="00531194"/>
    <w:rsid w:val="00532F8F"/>
    <w:rsid w:val="005338FE"/>
    <w:rsid w:val="005343E7"/>
    <w:rsid w:val="00534692"/>
    <w:rsid w:val="00536E53"/>
    <w:rsid w:val="00540FEF"/>
    <w:rsid w:val="00546898"/>
    <w:rsid w:val="00550A63"/>
    <w:rsid w:val="0055326B"/>
    <w:rsid w:val="0055448C"/>
    <w:rsid w:val="00555E41"/>
    <w:rsid w:val="00556F2C"/>
    <w:rsid w:val="00557EDF"/>
    <w:rsid w:val="0056081A"/>
    <w:rsid w:val="00561E7B"/>
    <w:rsid w:val="0056277D"/>
    <w:rsid w:val="00567595"/>
    <w:rsid w:val="0057022C"/>
    <w:rsid w:val="00570519"/>
    <w:rsid w:val="00571F9B"/>
    <w:rsid w:val="005727DE"/>
    <w:rsid w:val="005729B3"/>
    <w:rsid w:val="00572C84"/>
    <w:rsid w:val="005738AA"/>
    <w:rsid w:val="00574150"/>
    <w:rsid w:val="005741E7"/>
    <w:rsid w:val="0057628C"/>
    <w:rsid w:val="00584A91"/>
    <w:rsid w:val="00586965"/>
    <w:rsid w:val="0058785C"/>
    <w:rsid w:val="00591655"/>
    <w:rsid w:val="00593F45"/>
    <w:rsid w:val="005944F5"/>
    <w:rsid w:val="00594745"/>
    <w:rsid w:val="00594FA2"/>
    <w:rsid w:val="00596173"/>
    <w:rsid w:val="00597EA0"/>
    <w:rsid w:val="005A48D9"/>
    <w:rsid w:val="005A4A24"/>
    <w:rsid w:val="005A5054"/>
    <w:rsid w:val="005A50DD"/>
    <w:rsid w:val="005A64A2"/>
    <w:rsid w:val="005A7BFA"/>
    <w:rsid w:val="005B21FB"/>
    <w:rsid w:val="005B2255"/>
    <w:rsid w:val="005B3364"/>
    <w:rsid w:val="005B38A4"/>
    <w:rsid w:val="005B56ED"/>
    <w:rsid w:val="005B647B"/>
    <w:rsid w:val="005B72CE"/>
    <w:rsid w:val="005C08F4"/>
    <w:rsid w:val="005C1313"/>
    <w:rsid w:val="005C5416"/>
    <w:rsid w:val="005C592B"/>
    <w:rsid w:val="005D0655"/>
    <w:rsid w:val="005D07F9"/>
    <w:rsid w:val="005D384F"/>
    <w:rsid w:val="005D69CF"/>
    <w:rsid w:val="005D73E7"/>
    <w:rsid w:val="005E1069"/>
    <w:rsid w:val="005E13B8"/>
    <w:rsid w:val="005E1E20"/>
    <w:rsid w:val="005E2337"/>
    <w:rsid w:val="005E244B"/>
    <w:rsid w:val="005E2EBD"/>
    <w:rsid w:val="005E3066"/>
    <w:rsid w:val="005E3BCF"/>
    <w:rsid w:val="005E408E"/>
    <w:rsid w:val="005E46F7"/>
    <w:rsid w:val="005E5026"/>
    <w:rsid w:val="005E526F"/>
    <w:rsid w:val="005E61CF"/>
    <w:rsid w:val="005E6660"/>
    <w:rsid w:val="005E793B"/>
    <w:rsid w:val="005F1E04"/>
    <w:rsid w:val="005F265A"/>
    <w:rsid w:val="005F51BF"/>
    <w:rsid w:val="005F66FE"/>
    <w:rsid w:val="005F7A4D"/>
    <w:rsid w:val="0060137A"/>
    <w:rsid w:val="0060142A"/>
    <w:rsid w:val="00602665"/>
    <w:rsid w:val="006046A2"/>
    <w:rsid w:val="00606CCA"/>
    <w:rsid w:val="00607769"/>
    <w:rsid w:val="0061018C"/>
    <w:rsid w:val="006113A0"/>
    <w:rsid w:val="00613619"/>
    <w:rsid w:val="00613F1C"/>
    <w:rsid w:val="00614E86"/>
    <w:rsid w:val="00616438"/>
    <w:rsid w:val="0061727C"/>
    <w:rsid w:val="00617302"/>
    <w:rsid w:val="00617F1C"/>
    <w:rsid w:val="00625261"/>
    <w:rsid w:val="00625421"/>
    <w:rsid w:val="00627D25"/>
    <w:rsid w:val="006311BA"/>
    <w:rsid w:val="00631E2C"/>
    <w:rsid w:val="0063456B"/>
    <w:rsid w:val="00634ED7"/>
    <w:rsid w:val="0063515B"/>
    <w:rsid w:val="00635FEE"/>
    <w:rsid w:val="006360F5"/>
    <w:rsid w:val="00637741"/>
    <w:rsid w:val="00641060"/>
    <w:rsid w:val="006419F4"/>
    <w:rsid w:val="006437BC"/>
    <w:rsid w:val="00645CB2"/>
    <w:rsid w:val="006465DC"/>
    <w:rsid w:val="00646999"/>
    <w:rsid w:val="00647134"/>
    <w:rsid w:val="006474D7"/>
    <w:rsid w:val="00647B14"/>
    <w:rsid w:val="00650098"/>
    <w:rsid w:val="00653A90"/>
    <w:rsid w:val="00654E04"/>
    <w:rsid w:val="00655499"/>
    <w:rsid w:val="006554A8"/>
    <w:rsid w:val="00655AD4"/>
    <w:rsid w:val="00656AEA"/>
    <w:rsid w:val="00657061"/>
    <w:rsid w:val="0066145F"/>
    <w:rsid w:val="00665C02"/>
    <w:rsid w:val="00667EF9"/>
    <w:rsid w:val="00671064"/>
    <w:rsid w:val="00671F63"/>
    <w:rsid w:val="00676565"/>
    <w:rsid w:val="00677317"/>
    <w:rsid w:val="006800EE"/>
    <w:rsid w:val="00680142"/>
    <w:rsid w:val="006804F5"/>
    <w:rsid w:val="00681B6E"/>
    <w:rsid w:val="006821AD"/>
    <w:rsid w:val="0068584D"/>
    <w:rsid w:val="00690542"/>
    <w:rsid w:val="00693437"/>
    <w:rsid w:val="00694257"/>
    <w:rsid w:val="00695223"/>
    <w:rsid w:val="006956C3"/>
    <w:rsid w:val="00696FCB"/>
    <w:rsid w:val="006971B9"/>
    <w:rsid w:val="006A0C47"/>
    <w:rsid w:val="006A1688"/>
    <w:rsid w:val="006A2C79"/>
    <w:rsid w:val="006A31AC"/>
    <w:rsid w:val="006A3C33"/>
    <w:rsid w:val="006A5F49"/>
    <w:rsid w:val="006A7617"/>
    <w:rsid w:val="006A77E2"/>
    <w:rsid w:val="006B1C2A"/>
    <w:rsid w:val="006B2406"/>
    <w:rsid w:val="006B3EDA"/>
    <w:rsid w:val="006B6696"/>
    <w:rsid w:val="006C090A"/>
    <w:rsid w:val="006C1B41"/>
    <w:rsid w:val="006C1BCF"/>
    <w:rsid w:val="006C3415"/>
    <w:rsid w:val="006C6AF2"/>
    <w:rsid w:val="006D1EE1"/>
    <w:rsid w:val="006D1F2C"/>
    <w:rsid w:val="006D2C4A"/>
    <w:rsid w:val="006D38F4"/>
    <w:rsid w:val="006D449F"/>
    <w:rsid w:val="006D5E82"/>
    <w:rsid w:val="006E124E"/>
    <w:rsid w:val="006E1A38"/>
    <w:rsid w:val="006E5EB8"/>
    <w:rsid w:val="006E67F4"/>
    <w:rsid w:val="006E729E"/>
    <w:rsid w:val="006F0573"/>
    <w:rsid w:val="006F159B"/>
    <w:rsid w:val="006F1B31"/>
    <w:rsid w:val="006F2383"/>
    <w:rsid w:val="006F2713"/>
    <w:rsid w:val="006F2BEB"/>
    <w:rsid w:val="006F335C"/>
    <w:rsid w:val="006F47E9"/>
    <w:rsid w:val="006F50E2"/>
    <w:rsid w:val="00700A36"/>
    <w:rsid w:val="00701810"/>
    <w:rsid w:val="00701FC7"/>
    <w:rsid w:val="00702163"/>
    <w:rsid w:val="00702EF4"/>
    <w:rsid w:val="007038B1"/>
    <w:rsid w:val="00705203"/>
    <w:rsid w:val="00707F0B"/>
    <w:rsid w:val="007114D6"/>
    <w:rsid w:val="00711CB4"/>
    <w:rsid w:val="007122FA"/>
    <w:rsid w:val="0071577C"/>
    <w:rsid w:val="007161F9"/>
    <w:rsid w:val="00716FF0"/>
    <w:rsid w:val="007177E9"/>
    <w:rsid w:val="00721366"/>
    <w:rsid w:val="007238FC"/>
    <w:rsid w:val="007239E4"/>
    <w:rsid w:val="007264EE"/>
    <w:rsid w:val="00726ED8"/>
    <w:rsid w:val="007302D8"/>
    <w:rsid w:val="007307D9"/>
    <w:rsid w:val="0073351B"/>
    <w:rsid w:val="00735C4A"/>
    <w:rsid w:val="007368F4"/>
    <w:rsid w:val="0074232A"/>
    <w:rsid w:val="007433B1"/>
    <w:rsid w:val="007449A7"/>
    <w:rsid w:val="0074515C"/>
    <w:rsid w:val="007457B1"/>
    <w:rsid w:val="00747480"/>
    <w:rsid w:val="00747549"/>
    <w:rsid w:val="007502A7"/>
    <w:rsid w:val="007513F0"/>
    <w:rsid w:val="007518E9"/>
    <w:rsid w:val="00752D49"/>
    <w:rsid w:val="00760D87"/>
    <w:rsid w:val="0076129A"/>
    <w:rsid w:val="00763469"/>
    <w:rsid w:val="00765DA2"/>
    <w:rsid w:val="00765F07"/>
    <w:rsid w:val="00767A1F"/>
    <w:rsid w:val="007702E2"/>
    <w:rsid w:val="00771D8A"/>
    <w:rsid w:val="00773D10"/>
    <w:rsid w:val="00774880"/>
    <w:rsid w:val="00774E15"/>
    <w:rsid w:val="00777F38"/>
    <w:rsid w:val="0078195E"/>
    <w:rsid w:val="00783041"/>
    <w:rsid w:val="007858B7"/>
    <w:rsid w:val="00786803"/>
    <w:rsid w:val="00787513"/>
    <w:rsid w:val="00791349"/>
    <w:rsid w:val="00791D49"/>
    <w:rsid w:val="0079568F"/>
    <w:rsid w:val="00797C77"/>
    <w:rsid w:val="007A00D8"/>
    <w:rsid w:val="007A325F"/>
    <w:rsid w:val="007A4D5E"/>
    <w:rsid w:val="007A5AC4"/>
    <w:rsid w:val="007A69E3"/>
    <w:rsid w:val="007B0BFE"/>
    <w:rsid w:val="007B0CA7"/>
    <w:rsid w:val="007B1724"/>
    <w:rsid w:val="007B1B60"/>
    <w:rsid w:val="007B36CB"/>
    <w:rsid w:val="007B3FB1"/>
    <w:rsid w:val="007B4425"/>
    <w:rsid w:val="007B66A0"/>
    <w:rsid w:val="007B7528"/>
    <w:rsid w:val="007B7610"/>
    <w:rsid w:val="007C311F"/>
    <w:rsid w:val="007C6198"/>
    <w:rsid w:val="007C68A7"/>
    <w:rsid w:val="007D15B0"/>
    <w:rsid w:val="007D2B13"/>
    <w:rsid w:val="007D39CC"/>
    <w:rsid w:val="007D3EF0"/>
    <w:rsid w:val="007D41CA"/>
    <w:rsid w:val="007E0F5E"/>
    <w:rsid w:val="007E11C7"/>
    <w:rsid w:val="007E1FEB"/>
    <w:rsid w:val="007E2235"/>
    <w:rsid w:val="007E3058"/>
    <w:rsid w:val="007E3C09"/>
    <w:rsid w:val="007E4896"/>
    <w:rsid w:val="007E54D7"/>
    <w:rsid w:val="007E699F"/>
    <w:rsid w:val="007E76E7"/>
    <w:rsid w:val="007E7E3A"/>
    <w:rsid w:val="007F2E46"/>
    <w:rsid w:val="007F45C8"/>
    <w:rsid w:val="007F48ED"/>
    <w:rsid w:val="007F5125"/>
    <w:rsid w:val="00802DFC"/>
    <w:rsid w:val="00803B91"/>
    <w:rsid w:val="00804731"/>
    <w:rsid w:val="0080586E"/>
    <w:rsid w:val="0081183D"/>
    <w:rsid w:val="00813823"/>
    <w:rsid w:val="00814C5B"/>
    <w:rsid w:val="00816699"/>
    <w:rsid w:val="0081717D"/>
    <w:rsid w:val="008209D2"/>
    <w:rsid w:val="00820E5B"/>
    <w:rsid w:val="008224BC"/>
    <w:rsid w:val="00824C04"/>
    <w:rsid w:val="00824CA6"/>
    <w:rsid w:val="008266D1"/>
    <w:rsid w:val="00826AB4"/>
    <w:rsid w:val="00826D44"/>
    <w:rsid w:val="00827FB7"/>
    <w:rsid w:val="008301EB"/>
    <w:rsid w:val="008308EA"/>
    <w:rsid w:val="0083094D"/>
    <w:rsid w:val="00831E9C"/>
    <w:rsid w:val="00831F50"/>
    <w:rsid w:val="0083356C"/>
    <w:rsid w:val="00834388"/>
    <w:rsid w:val="008371FA"/>
    <w:rsid w:val="00840880"/>
    <w:rsid w:val="008416E5"/>
    <w:rsid w:val="00842CF5"/>
    <w:rsid w:val="008432AC"/>
    <w:rsid w:val="00844A38"/>
    <w:rsid w:val="00844A97"/>
    <w:rsid w:val="0085152E"/>
    <w:rsid w:val="00851B2F"/>
    <w:rsid w:val="00851D85"/>
    <w:rsid w:val="008540C5"/>
    <w:rsid w:val="00856576"/>
    <w:rsid w:val="008606DB"/>
    <w:rsid w:val="008616EF"/>
    <w:rsid w:val="00862993"/>
    <w:rsid w:val="00862C25"/>
    <w:rsid w:val="00866BED"/>
    <w:rsid w:val="00867886"/>
    <w:rsid w:val="008708D5"/>
    <w:rsid w:val="00873379"/>
    <w:rsid w:val="008734B5"/>
    <w:rsid w:val="008757D5"/>
    <w:rsid w:val="00877008"/>
    <w:rsid w:val="00882950"/>
    <w:rsid w:val="00883803"/>
    <w:rsid w:val="0088395D"/>
    <w:rsid w:val="00884521"/>
    <w:rsid w:val="00887CBD"/>
    <w:rsid w:val="00887FA6"/>
    <w:rsid w:val="0089005E"/>
    <w:rsid w:val="008908BA"/>
    <w:rsid w:val="008908D0"/>
    <w:rsid w:val="008921C5"/>
    <w:rsid w:val="00896088"/>
    <w:rsid w:val="008A2741"/>
    <w:rsid w:val="008A294A"/>
    <w:rsid w:val="008A2F9D"/>
    <w:rsid w:val="008A5593"/>
    <w:rsid w:val="008A68A1"/>
    <w:rsid w:val="008A75B1"/>
    <w:rsid w:val="008A7AF1"/>
    <w:rsid w:val="008B003C"/>
    <w:rsid w:val="008B1BB4"/>
    <w:rsid w:val="008B4C09"/>
    <w:rsid w:val="008B5AE1"/>
    <w:rsid w:val="008C01D2"/>
    <w:rsid w:val="008C1FE4"/>
    <w:rsid w:val="008C5696"/>
    <w:rsid w:val="008C7584"/>
    <w:rsid w:val="008D04E9"/>
    <w:rsid w:val="008D2548"/>
    <w:rsid w:val="008D3217"/>
    <w:rsid w:val="008D4483"/>
    <w:rsid w:val="008D4A7F"/>
    <w:rsid w:val="008D4DFF"/>
    <w:rsid w:val="008D6361"/>
    <w:rsid w:val="008D7145"/>
    <w:rsid w:val="008E1DB8"/>
    <w:rsid w:val="008E434F"/>
    <w:rsid w:val="008E70DE"/>
    <w:rsid w:val="008F14A1"/>
    <w:rsid w:val="008F38B0"/>
    <w:rsid w:val="008F65C2"/>
    <w:rsid w:val="008F73E2"/>
    <w:rsid w:val="009004CE"/>
    <w:rsid w:val="00905E62"/>
    <w:rsid w:val="00907AA2"/>
    <w:rsid w:val="00907EC0"/>
    <w:rsid w:val="00916517"/>
    <w:rsid w:val="0091692B"/>
    <w:rsid w:val="00920D86"/>
    <w:rsid w:val="009212AA"/>
    <w:rsid w:val="00922BE7"/>
    <w:rsid w:val="00924161"/>
    <w:rsid w:val="00924AD3"/>
    <w:rsid w:val="00924CD0"/>
    <w:rsid w:val="00924E06"/>
    <w:rsid w:val="00925542"/>
    <w:rsid w:val="00926E36"/>
    <w:rsid w:val="009352E2"/>
    <w:rsid w:val="0093694B"/>
    <w:rsid w:val="00940171"/>
    <w:rsid w:val="00941697"/>
    <w:rsid w:val="00943615"/>
    <w:rsid w:val="009442FD"/>
    <w:rsid w:val="009502B5"/>
    <w:rsid w:val="009513E1"/>
    <w:rsid w:val="00951A09"/>
    <w:rsid w:val="009521FB"/>
    <w:rsid w:val="0095412B"/>
    <w:rsid w:val="00955A1B"/>
    <w:rsid w:val="00960438"/>
    <w:rsid w:val="00962289"/>
    <w:rsid w:val="009631E6"/>
    <w:rsid w:val="00964D9B"/>
    <w:rsid w:val="00966573"/>
    <w:rsid w:val="0096745C"/>
    <w:rsid w:val="00967E0D"/>
    <w:rsid w:val="00970C3D"/>
    <w:rsid w:val="00974100"/>
    <w:rsid w:val="00974803"/>
    <w:rsid w:val="009757C2"/>
    <w:rsid w:val="009769A0"/>
    <w:rsid w:val="009820B2"/>
    <w:rsid w:val="00983EF9"/>
    <w:rsid w:val="00987D0B"/>
    <w:rsid w:val="0099043F"/>
    <w:rsid w:val="009908AA"/>
    <w:rsid w:val="00990A1A"/>
    <w:rsid w:val="00993172"/>
    <w:rsid w:val="00996D57"/>
    <w:rsid w:val="009A070B"/>
    <w:rsid w:val="009A1C81"/>
    <w:rsid w:val="009A3E40"/>
    <w:rsid w:val="009A500B"/>
    <w:rsid w:val="009A56C6"/>
    <w:rsid w:val="009A7C2C"/>
    <w:rsid w:val="009B13B1"/>
    <w:rsid w:val="009B2CDB"/>
    <w:rsid w:val="009B419A"/>
    <w:rsid w:val="009B564C"/>
    <w:rsid w:val="009B60FE"/>
    <w:rsid w:val="009B6449"/>
    <w:rsid w:val="009B6554"/>
    <w:rsid w:val="009C0646"/>
    <w:rsid w:val="009C26A8"/>
    <w:rsid w:val="009C4A75"/>
    <w:rsid w:val="009C5458"/>
    <w:rsid w:val="009C5BD8"/>
    <w:rsid w:val="009C6794"/>
    <w:rsid w:val="009C6979"/>
    <w:rsid w:val="009D05E3"/>
    <w:rsid w:val="009D0AB3"/>
    <w:rsid w:val="009D11FD"/>
    <w:rsid w:val="009D1651"/>
    <w:rsid w:val="009D18BD"/>
    <w:rsid w:val="009D75DA"/>
    <w:rsid w:val="009E05A3"/>
    <w:rsid w:val="009E2F4A"/>
    <w:rsid w:val="009E40B9"/>
    <w:rsid w:val="009E4C2A"/>
    <w:rsid w:val="009E7243"/>
    <w:rsid w:val="009E75B5"/>
    <w:rsid w:val="009F235A"/>
    <w:rsid w:val="009F39E6"/>
    <w:rsid w:val="009F5B1B"/>
    <w:rsid w:val="009F76FC"/>
    <w:rsid w:val="00A014EB"/>
    <w:rsid w:val="00A01FDB"/>
    <w:rsid w:val="00A106E0"/>
    <w:rsid w:val="00A12623"/>
    <w:rsid w:val="00A13D33"/>
    <w:rsid w:val="00A14C35"/>
    <w:rsid w:val="00A14D19"/>
    <w:rsid w:val="00A14DF6"/>
    <w:rsid w:val="00A14F69"/>
    <w:rsid w:val="00A1532D"/>
    <w:rsid w:val="00A158C9"/>
    <w:rsid w:val="00A21093"/>
    <w:rsid w:val="00A2432E"/>
    <w:rsid w:val="00A24AB0"/>
    <w:rsid w:val="00A24E15"/>
    <w:rsid w:val="00A326FB"/>
    <w:rsid w:val="00A33470"/>
    <w:rsid w:val="00A34FC3"/>
    <w:rsid w:val="00A3626E"/>
    <w:rsid w:val="00A370D1"/>
    <w:rsid w:val="00A401D7"/>
    <w:rsid w:val="00A40B86"/>
    <w:rsid w:val="00A420DB"/>
    <w:rsid w:val="00A42589"/>
    <w:rsid w:val="00A458CD"/>
    <w:rsid w:val="00A47204"/>
    <w:rsid w:val="00A51E87"/>
    <w:rsid w:val="00A52BC2"/>
    <w:rsid w:val="00A53A8F"/>
    <w:rsid w:val="00A54105"/>
    <w:rsid w:val="00A55AAD"/>
    <w:rsid w:val="00A606A4"/>
    <w:rsid w:val="00A61A5C"/>
    <w:rsid w:val="00A62317"/>
    <w:rsid w:val="00A63C59"/>
    <w:rsid w:val="00A65A6F"/>
    <w:rsid w:val="00A673C4"/>
    <w:rsid w:val="00A750D6"/>
    <w:rsid w:val="00A75D41"/>
    <w:rsid w:val="00A77843"/>
    <w:rsid w:val="00A866B9"/>
    <w:rsid w:val="00A93263"/>
    <w:rsid w:val="00A95E5C"/>
    <w:rsid w:val="00AA0B83"/>
    <w:rsid w:val="00AA37B9"/>
    <w:rsid w:val="00AA410C"/>
    <w:rsid w:val="00AA4BB5"/>
    <w:rsid w:val="00AA5791"/>
    <w:rsid w:val="00AA6F46"/>
    <w:rsid w:val="00AB0708"/>
    <w:rsid w:val="00AB177E"/>
    <w:rsid w:val="00AB1974"/>
    <w:rsid w:val="00AB2697"/>
    <w:rsid w:val="00AB4DBC"/>
    <w:rsid w:val="00AB6633"/>
    <w:rsid w:val="00AB6CCB"/>
    <w:rsid w:val="00AC12B8"/>
    <w:rsid w:val="00AC1CB4"/>
    <w:rsid w:val="00AC2187"/>
    <w:rsid w:val="00AC29C6"/>
    <w:rsid w:val="00AC2D4C"/>
    <w:rsid w:val="00AC3309"/>
    <w:rsid w:val="00AC7238"/>
    <w:rsid w:val="00AD2CBE"/>
    <w:rsid w:val="00AD3591"/>
    <w:rsid w:val="00AD683A"/>
    <w:rsid w:val="00AD6A25"/>
    <w:rsid w:val="00AD6FCA"/>
    <w:rsid w:val="00AD78C8"/>
    <w:rsid w:val="00AE04A1"/>
    <w:rsid w:val="00AE1E45"/>
    <w:rsid w:val="00AE2436"/>
    <w:rsid w:val="00AE47EF"/>
    <w:rsid w:val="00AE529E"/>
    <w:rsid w:val="00AE613C"/>
    <w:rsid w:val="00AF028F"/>
    <w:rsid w:val="00AF07B1"/>
    <w:rsid w:val="00AF5BB0"/>
    <w:rsid w:val="00B00C89"/>
    <w:rsid w:val="00B02D21"/>
    <w:rsid w:val="00B048F8"/>
    <w:rsid w:val="00B05343"/>
    <w:rsid w:val="00B05D32"/>
    <w:rsid w:val="00B07D44"/>
    <w:rsid w:val="00B15179"/>
    <w:rsid w:val="00B173A2"/>
    <w:rsid w:val="00B173E1"/>
    <w:rsid w:val="00B17DE6"/>
    <w:rsid w:val="00B17EB5"/>
    <w:rsid w:val="00B21C1F"/>
    <w:rsid w:val="00B24E79"/>
    <w:rsid w:val="00B25FBE"/>
    <w:rsid w:val="00B26048"/>
    <w:rsid w:val="00B308F4"/>
    <w:rsid w:val="00B31E7B"/>
    <w:rsid w:val="00B32417"/>
    <w:rsid w:val="00B35193"/>
    <w:rsid w:val="00B354C2"/>
    <w:rsid w:val="00B40ED4"/>
    <w:rsid w:val="00B4287C"/>
    <w:rsid w:val="00B42C2C"/>
    <w:rsid w:val="00B46880"/>
    <w:rsid w:val="00B479D7"/>
    <w:rsid w:val="00B50A10"/>
    <w:rsid w:val="00B51F99"/>
    <w:rsid w:val="00B53015"/>
    <w:rsid w:val="00B54AD8"/>
    <w:rsid w:val="00B57017"/>
    <w:rsid w:val="00B57CAE"/>
    <w:rsid w:val="00B60465"/>
    <w:rsid w:val="00B615F5"/>
    <w:rsid w:val="00B62CA3"/>
    <w:rsid w:val="00B62F60"/>
    <w:rsid w:val="00B636E6"/>
    <w:rsid w:val="00B67945"/>
    <w:rsid w:val="00B67DEE"/>
    <w:rsid w:val="00B70692"/>
    <w:rsid w:val="00B73ECC"/>
    <w:rsid w:val="00B776F1"/>
    <w:rsid w:val="00B81449"/>
    <w:rsid w:val="00B81B0C"/>
    <w:rsid w:val="00B8212A"/>
    <w:rsid w:val="00B825E6"/>
    <w:rsid w:val="00B84139"/>
    <w:rsid w:val="00B84F14"/>
    <w:rsid w:val="00B85D9A"/>
    <w:rsid w:val="00B86336"/>
    <w:rsid w:val="00B872F6"/>
    <w:rsid w:val="00B873DE"/>
    <w:rsid w:val="00B91042"/>
    <w:rsid w:val="00B922CA"/>
    <w:rsid w:val="00B941FC"/>
    <w:rsid w:val="00B96026"/>
    <w:rsid w:val="00B968F1"/>
    <w:rsid w:val="00BA0036"/>
    <w:rsid w:val="00BA0DC6"/>
    <w:rsid w:val="00BA198A"/>
    <w:rsid w:val="00BA28CE"/>
    <w:rsid w:val="00BA2ED0"/>
    <w:rsid w:val="00BA3E43"/>
    <w:rsid w:val="00BB0185"/>
    <w:rsid w:val="00BB0F89"/>
    <w:rsid w:val="00BB1836"/>
    <w:rsid w:val="00BB2DBE"/>
    <w:rsid w:val="00BB385E"/>
    <w:rsid w:val="00BB5502"/>
    <w:rsid w:val="00BC50B9"/>
    <w:rsid w:val="00BC7C08"/>
    <w:rsid w:val="00BD116F"/>
    <w:rsid w:val="00BD36D3"/>
    <w:rsid w:val="00BD3A96"/>
    <w:rsid w:val="00BD423F"/>
    <w:rsid w:val="00BD4A9B"/>
    <w:rsid w:val="00BD50D0"/>
    <w:rsid w:val="00BD738A"/>
    <w:rsid w:val="00BD7BA2"/>
    <w:rsid w:val="00BE1BC5"/>
    <w:rsid w:val="00BE494A"/>
    <w:rsid w:val="00BE4A61"/>
    <w:rsid w:val="00BE5CA0"/>
    <w:rsid w:val="00BE7219"/>
    <w:rsid w:val="00BF64E4"/>
    <w:rsid w:val="00C00435"/>
    <w:rsid w:val="00C00523"/>
    <w:rsid w:val="00C01350"/>
    <w:rsid w:val="00C021DD"/>
    <w:rsid w:val="00C04962"/>
    <w:rsid w:val="00C04BBE"/>
    <w:rsid w:val="00C04E97"/>
    <w:rsid w:val="00C065AB"/>
    <w:rsid w:val="00C0720A"/>
    <w:rsid w:val="00C10174"/>
    <w:rsid w:val="00C10664"/>
    <w:rsid w:val="00C1085E"/>
    <w:rsid w:val="00C119EE"/>
    <w:rsid w:val="00C1207D"/>
    <w:rsid w:val="00C133E4"/>
    <w:rsid w:val="00C1365D"/>
    <w:rsid w:val="00C138B6"/>
    <w:rsid w:val="00C164CF"/>
    <w:rsid w:val="00C174FF"/>
    <w:rsid w:val="00C21A39"/>
    <w:rsid w:val="00C230E1"/>
    <w:rsid w:val="00C23C2F"/>
    <w:rsid w:val="00C24CC3"/>
    <w:rsid w:val="00C3116E"/>
    <w:rsid w:val="00C3340B"/>
    <w:rsid w:val="00C34A0D"/>
    <w:rsid w:val="00C36091"/>
    <w:rsid w:val="00C371A7"/>
    <w:rsid w:val="00C414AD"/>
    <w:rsid w:val="00C41AEF"/>
    <w:rsid w:val="00C4214F"/>
    <w:rsid w:val="00C42FFD"/>
    <w:rsid w:val="00C441C5"/>
    <w:rsid w:val="00C447E6"/>
    <w:rsid w:val="00C50303"/>
    <w:rsid w:val="00C513C6"/>
    <w:rsid w:val="00C52953"/>
    <w:rsid w:val="00C54F71"/>
    <w:rsid w:val="00C55961"/>
    <w:rsid w:val="00C56D40"/>
    <w:rsid w:val="00C61D0D"/>
    <w:rsid w:val="00C62CC8"/>
    <w:rsid w:val="00C62D04"/>
    <w:rsid w:val="00C6416D"/>
    <w:rsid w:val="00C64ADA"/>
    <w:rsid w:val="00C66640"/>
    <w:rsid w:val="00C674D6"/>
    <w:rsid w:val="00C678E9"/>
    <w:rsid w:val="00C71CBB"/>
    <w:rsid w:val="00C7544B"/>
    <w:rsid w:val="00C76104"/>
    <w:rsid w:val="00C76D3B"/>
    <w:rsid w:val="00C771AD"/>
    <w:rsid w:val="00C805CD"/>
    <w:rsid w:val="00C828DA"/>
    <w:rsid w:val="00C8398A"/>
    <w:rsid w:val="00C8544B"/>
    <w:rsid w:val="00C907EF"/>
    <w:rsid w:val="00C91E45"/>
    <w:rsid w:val="00C91EDE"/>
    <w:rsid w:val="00C93225"/>
    <w:rsid w:val="00C947CD"/>
    <w:rsid w:val="00C9498B"/>
    <w:rsid w:val="00C97D85"/>
    <w:rsid w:val="00CA7678"/>
    <w:rsid w:val="00CB132E"/>
    <w:rsid w:val="00CB2AEE"/>
    <w:rsid w:val="00CB569F"/>
    <w:rsid w:val="00CB594F"/>
    <w:rsid w:val="00CB6155"/>
    <w:rsid w:val="00CB6750"/>
    <w:rsid w:val="00CB74FB"/>
    <w:rsid w:val="00CB7854"/>
    <w:rsid w:val="00CB796E"/>
    <w:rsid w:val="00CC1873"/>
    <w:rsid w:val="00CC2536"/>
    <w:rsid w:val="00CC3B8F"/>
    <w:rsid w:val="00CC3EEB"/>
    <w:rsid w:val="00CC6769"/>
    <w:rsid w:val="00CC67A1"/>
    <w:rsid w:val="00CC6C0F"/>
    <w:rsid w:val="00CC7151"/>
    <w:rsid w:val="00CD2B67"/>
    <w:rsid w:val="00CD3FDB"/>
    <w:rsid w:val="00CD4237"/>
    <w:rsid w:val="00CD52C9"/>
    <w:rsid w:val="00CD781B"/>
    <w:rsid w:val="00CE1235"/>
    <w:rsid w:val="00CE181A"/>
    <w:rsid w:val="00CE311F"/>
    <w:rsid w:val="00CE58FD"/>
    <w:rsid w:val="00CF33B4"/>
    <w:rsid w:val="00CF3BD0"/>
    <w:rsid w:val="00D05844"/>
    <w:rsid w:val="00D05C2D"/>
    <w:rsid w:val="00D07214"/>
    <w:rsid w:val="00D12479"/>
    <w:rsid w:val="00D13000"/>
    <w:rsid w:val="00D17C51"/>
    <w:rsid w:val="00D201C0"/>
    <w:rsid w:val="00D213C2"/>
    <w:rsid w:val="00D21BE4"/>
    <w:rsid w:val="00D21C5C"/>
    <w:rsid w:val="00D220F7"/>
    <w:rsid w:val="00D245DB"/>
    <w:rsid w:val="00D24CFA"/>
    <w:rsid w:val="00D24DC7"/>
    <w:rsid w:val="00D25159"/>
    <w:rsid w:val="00D26EE7"/>
    <w:rsid w:val="00D3089D"/>
    <w:rsid w:val="00D30A69"/>
    <w:rsid w:val="00D31301"/>
    <w:rsid w:val="00D337F5"/>
    <w:rsid w:val="00D34A22"/>
    <w:rsid w:val="00D362D6"/>
    <w:rsid w:val="00D36E5D"/>
    <w:rsid w:val="00D41DB5"/>
    <w:rsid w:val="00D445AC"/>
    <w:rsid w:val="00D45426"/>
    <w:rsid w:val="00D455FE"/>
    <w:rsid w:val="00D47CF3"/>
    <w:rsid w:val="00D5155B"/>
    <w:rsid w:val="00D521BC"/>
    <w:rsid w:val="00D52D7C"/>
    <w:rsid w:val="00D534F7"/>
    <w:rsid w:val="00D53B24"/>
    <w:rsid w:val="00D541E0"/>
    <w:rsid w:val="00D55329"/>
    <w:rsid w:val="00D56456"/>
    <w:rsid w:val="00D62144"/>
    <w:rsid w:val="00D625AD"/>
    <w:rsid w:val="00D63E84"/>
    <w:rsid w:val="00D64D05"/>
    <w:rsid w:val="00D71063"/>
    <w:rsid w:val="00D73B05"/>
    <w:rsid w:val="00D74C33"/>
    <w:rsid w:val="00D75659"/>
    <w:rsid w:val="00D756A0"/>
    <w:rsid w:val="00D7652D"/>
    <w:rsid w:val="00D7675F"/>
    <w:rsid w:val="00D77E40"/>
    <w:rsid w:val="00D831E8"/>
    <w:rsid w:val="00D8503A"/>
    <w:rsid w:val="00D857FC"/>
    <w:rsid w:val="00D85956"/>
    <w:rsid w:val="00D8631A"/>
    <w:rsid w:val="00D90F63"/>
    <w:rsid w:val="00D91B86"/>
    <w:rsid w:val="00D95299"/>
    <w:rsid w:val="00DA08A3"/>
    <w:rsid w:val="00DA301C"/>
    <w:rsid w:val="00DA3911"/>
    <w:rsid w:val="00DA5190"/>
    <w:rsid w:val="00DA72DE"/>
    <w:rsid w:val="00DA78E2"/>
    <w:rsid w:val="00DB18ED"/>
    <w:rsid w:val="00DB34C3"/>
    <w:rsid w:val="00DB4E21"/>
    <w:rsid w:val="00DB5402"/>
    <w:rsid w:val="00DC0280"/>
    <w:rsid w:val="00DC2DF4"/>
    <w:rsid w:val="00DC496E"/>
    <w:rsid w:val="00DC683A"/>
    <w:rsid w:val="00DC7090"/>
    <w:rsid w:val="00DC7289"/>
    <w:rsid w:val="00DC7C09"/>
    <w:rsid w:val="00DD42CA"/>
    <w:rsid w:val="00DD72EE"/>
    <w:rsid w:val="00DD79CF"/>
    <w:rsid w:val="00DE113E"/>
    <w:rsid w:val="00DE137E"/>
    <w:rsid w:val="00DE1B33"/>
    <w:rsid w:val="00DE2FC3"/>
    <w:rsid w:val="00DE484F"/>
    <w:rsid w:val="00DE4953"/>
    <w:rsid w:val="00DE4960"/>
    <w:rsid w:val="00DE61DE"/>
    <w:rsid w:val="00DE62B0"/>
    <w:rsid w:val="00DE6AF9"/>
    <w:rsid w:val="00DE6E87"/>
    <w:rsid w:val="00DE6FAB"/>
    <w:rsid w:val="00DE7A3C"/>
    <w:rsid w:val="00DF0289"/>
    <w:rsid w:val="00DF096A"/>
    <w:rsid w:val="00DF1375"/>
    <w:rsid w:val="00DF21CC"/>
    <w:rsid w:val="00DF234D"/>
    <w:rsid w:val="00DF31E4"/>
    <w:rsid w:val="00DF50FC"/>
    <w:rsid w:val="00DF5AA8"/>
    <w:rsid w:val="00DF6D34"/>
    <w:rsid w:val="00E00AFA"/>
    <w:rsid w:val="00E02EDB"/>
    <w:rsid w:val="00E0337B"/>
    <w:rsid w:val="00E03F81"/>
    <w:rsid w:val="00E07CF4"/>
    <w:rsid w:val="00E07DFD"/>
    <w:rsid w:val="00E11287"/>
    <w:rsid w:val="00E11AEC"/>
    <w:rsid w:val="00E12564"/>
    <w:rsid w:val="00E126D2"/>
    <w:rsid w:val="00E129A1"/>
    <w:rsid w:val="00E12EAD"/>
    <w:rsid w:val="00E167C6"/>
    <w:rsid w:val="00E16D27"/>
    <w:rsid w:val="00E213C7"/>
    <w:rsid w:val="00E2423F"/>
    <w:rsid w:val="00E24C44"/>
    <w:rsid w:val="00E24E1A"/>
    <w:rsid w:val="00E269B0"/>
    <w:rsid w:val="00E27724"/>
    <w:rsid w:val="00E27CD0"/>
    <w:rsid w:val="00E27E2D"/>
    <w:rsid w:val="00E31AC3"/>
    <w:rsid w:val="00E31F2E"/>
    <w:rsid w:val="00E32248"/>
    <w:rsid w:val="00E32B53"/>
    <w:rsid w:val="00E330A9"/>
    <w:rsid w:val="00E33C57"/>
    <w:rsid w:val="00E33FBD"/>
    <w:rsid w:val="00E34BE3"/>
    <w:rsid w:val="00E35428"/>
    <w:rsid w:val="00E37B15"/>
    <w:rsid w:val="00E40D01"/>
    <w:rsid w:val="00E4357C"/>
    <w:rsid w:val="00E45651"/>
    <w:rsid w:val="00E47F58"/>
    <w:rsid w:val="00E51A8E"/>
    <w:rsid w:val="00E52DA6"/>
    <w:rsid w:val="00E55235"/>
    <w:rsid w:val="00E565BA"/>
    <w:rsid w:val="00E56C0A"/>
    <w:rsid w:val="00E614BE"/>
    <w:rsid w:val="00E61C3C"/>
    <w:rsid w:val="00E64D54"/>
    <w:rsid w:val="00E67003"/>
    <w:rsid w:val="00E710EC"/>
    <w:rsid w:val="00E725A4"/>
    <w:rsid w:val="00E77FEF"/>
    <w:rsid w:val="00E82531"/>
    <w:rsid w:val="00E845F4"/>
    <w:rsid w:val="00E85790"/>
    <w:rsid w:val="00E859EC"/>
    <w:rsid w:val="00E85D06"/>
    <w:rsid w:val="00E865C6"/>
    <w:rsid w:val="00E873F8"/>
    <w:rsid w:val="00E9126F"/>
    <w:rsid w:val="00E91CC6"/>
    <w:rsid w:val="00E9457F"/>
    <w:rsid w:val="00E978F0"/>
    <w:rsid w:val="00EA0C25"/>
    <w:rsid w:val="00EA26A3"/>
    <w:rsid w:val="00EA564A"/>
    <w:rsid w:val="00EA727E"/>
    <w:rsid w:val="00EB072F"/>
    <w:rsid w:val="00EB12D7"/>
    <w:rsid w:val="00EB189D"/>
    <w:rsid w:val="00EB1C6C"/>
    <w:rsid w:val="00EB1C87"/>
    <w:rsid w:val="00EB40F4"/>
    <w:rsid w:val="00EB5E91"/>
    <w:rsid w:val="00EC0D21"/>
    <w:rsid w:val="00EC14DA"/>
    <w:rsid w:val="00EC2745"/>
    <w:rsid w:val="00EC32FF"/>
    <w:rsid w:val="00EC3D60"/>
    <w:rsid w:val="00EC4280"/>
    <w:rsid w:val="00EC4B03"/>
    <w:rsid w:val="00EC7010"/>
    <w:rsid w:val="00EC775B"/>
    <w:rsid w:val="00EC7D5A"/>
    <w:rsid w:val="00EC7E09"/>
    <w:rsid w:val="00ED1DE0"/>
    <w:rsid w:val="00ED2B52"/>
    <w:rsid w:val="00ED44A3"/>
    <w:rsid w:val="00ED5733"/>
    <w:rsid w:val="00ED6038"/>
    <w:rsid w:val="00ED67C9"/>
    <w:rsid w:val="00EE60E9"/>
    <w:rsid w:val="00EE65F4"/>
    <w:rsid w:val="00EF0906"/>
    <w:rsid w:val="00EF18DE"/>
    <w:rsid w:val="00EF3CDE"/>
    <w:rsid w:val="00EF4CED"/>
    <w:rsid w:val="00EF68C1"/>
    <w:rsid w:val="00EF6D96"/>
    <w:rsid w:val="00F02690"/>
    <w:rsid w:val="00F07893"/>
    <w:rsid w:val="00F10534"/>
    <w:rsid w:val="00F11CC8"/>
    <w:rsid w:val="00F12839"/>
    <w:rsid w:val="00F1565D"/>
    <w:rsid w:val="00F168EF"/>
    <w:rsid w:val="00F16BA0"/>
    <w:rsid w:val="00F17A1D"/>
    <w:rsid w:val="00F17A4F"/>
    <w:rsid w:val="00F234BE"/>
    <w:rsid w:val="00F23E25"/>
    <w:rsid w:val="00F25247"/>
    <w:rsid w:val="00F26A90"/>
    <w:rsid w:val="00F277ED"/>
    <w:rsid w:val="00F33E93"/>
    <w:rsid w:val="00F36FD9"/>
    <w:rsid w:val="00F432B7"/>
    <w:rsid w:val="00F47E7B"/>
    <w:rsid w:val="00F52812"/>
    <w:rsid w:val="00F53787"/>
    <w:rsid w:val="00F53FFA"/>
    <w:rsid w:val="00F54B14"/>
    <w:rsid w:val="00F57D3D"/>
    <w:rsid w:val="00F61F34"/>
    <w:rsid w:val="00F659FA"/>
    <w:rsid w:val="00F70CFF"/>
    <w:rsid w:val="00F710BD"/>
    <w:rsid w:val="00F72259"/>
    <w:rsid w:val="00F74A43"/>
    <w:rsid w:val="00F74D18"/>
    <w:rsid w:val="00F76DF9"/>
    <w:rsid w:val="00F80F52"/>
    <w:rsid w:val="00F81A90"/>
    <w:rsid w:val="00F8246B"/>
    <w:rsid w:val="00F863D7"/>
    <w:rsid w:val="00F907CE"/>
    <w:rsid w:val="00F93BEC"/>
    <w:rsid w:val="00F96DCA"/>
    <w:rsid w:val="00F975F6"/>
    <w:rsid w:val="00FA2100"/>
    <w:rsid w:val="00FA2F22"/>
    <w:rsid w:val="00FA46B8"/>
    <w:rsid w:val="00FA5EDD"/>
    <w:rsid w:val="00FA64A9"/>
    <w:rsid w:val="00FA7C89"/>
    <w:rsid w:val="00FB02E7"/>
    <w:rsid w:val="00FB1797"/>
    <w:rsid w:val="00FB326E"/>
    <w:rsid w:val="00FB426C"/>
    <w:rsid w:val="00FB7840"/>
    <w:rsid w:val="00FC0312"/>
    <w:rsid w:val="00FC03B0"/>
    <w:rsid w:val="00FC040B"/>
    <w:rsid w:val="00FD21F3"/>
    <w:rsid w:val="00FD3EFD"/>
    <w:rsid w:val="00FD6ADA"/>
    <w:rsid w:val="00FE1DBE"/>
    <w:rsid w:val="00FE3153"/>
    <w:rsid w:val="00FE3F05"/>
    <w:rsid w:val="00FE43CC"/>
    <w:rsid w:val="00FE4550"/>
    <w:rsid w:val="00FE5C30"/>
    <w:rsid w:val="00FE76E8"/>
    <w:rsid w:val="00FF28C1"/>
    <w:rsid w:val="00FF2D1E"/>
    <w:rsid w:val="00FF44F6"/>
    <w:rsid w:val="00FF5987"/>
    <w:rsid w:val="00FF6FFE"/>
    <w:rsid w:val="07153776"/>
    <w:rsid w:val="0B5EAD08"/>
    <w:rsid w:val="0BCAA5B5"/>
    <w:rsid w:val="142D5459"/>
    <w:rsid w:val="1895F881"/>
    <w:rsid w:val="1E9BA431"/>
    <w:rsid w:val="22EFB1A1"/>
    <w:rsid w:val="2333D0AD"/>
    <w:rsid w:val="2D5A07B1"/>
    <w:rsid w:val="30048629"/>
    <w:rsid w:val="328624A0"/>
    <w:rsid w:val="387D328E"/>
    <w:rsid w:val="41EEACEF"/>
    <w:rsid w:val="423B55CB"/>
    <w:rsid w:val="461C2964"/>
    <w:rsid w:val="5801978F"/>
    <w:rsid w:val="5ADA5238"/>
    <w:rsid w:val="5B3609AC"/>
    <w:rsid w:val="5B73B119"/>
    <w:rsid w:val="5DD35B96"/>
    <w:rsid w:val="633364D1"/>
    <w:rsid w:val="6865F0C9"/>
    <w:rsid w:val="68C75606"/>
    <w:rsid w:val="6C94FEB5"/>
    <w:rsid w:val="6FD5765F"/>
    <w:rsid w:val="6FE0B9EA"/>
    <w:rsid w:val="766ACEA5"/>
    <w:rsid w:val="7BBEF1F3"/>
    <w:rsid w:val="7E249D57"/>
    <w:rsid w:val="7E89EE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514C6"/>
  <w15:chartTrackingRefBased/>
  <w15:docId w15:val="{FC36E31A-D925-4D73-91F5-212F0F4C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uiPriority w:val="9"/>
    <w:qFormat/>
    <w:rsid w:val="00C9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7D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7D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7D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7D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7D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7D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7D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7D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7D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7D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7D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7D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7D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7D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7D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7D85"/>
    <w:rPr>
      <w:rFonts w:eastAsiaTheme="majorEastAsia" w:cstheme="majorBidi"/>
      <w:color w:val="272727" w:themeColor="text1" w:themeTint="D8"/>
    </w:rPr>
  </w:style>
  <w:style w:type="paragraph" w:styleId="Titre">
    <w:name w:val="Title"/>
    <w:basedOn w:val="Normal"/>
    <w:next w:val="Normal"/>
    <w:link w:val="TitreCar"/>
    <w:uiPriority w:val="10"/>
    <w:qFormat/>
    <w:rsid w:val="00C9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7D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7D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7D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7D85"/>
    <w:pPr>
      <w:spacing w:before="160"/>
      <w:jc w:val="center"/>
    </w:pPr>
    <w:rPr>
      <w:i/>
      <w:iCs/>
      <w:color w:val="404040" w:themeColor="text1" w:themeTint="BF"/>
    </w:rPr>
  </w:style>
  <w:style w:type="character" w:customStyle="1" w:styleId="CitationCar">
    <w:name w:val="Citation Car"/>
    <w:basedOn w:val="Policepardfaut"/>
    <w:link w:val="Citation"/>
    <w:uiPriority w:val="29"/>
    <w:rsid w:val="00C97D85"/>
    <w:rPr>
      <w:i/>
      <w:iCs/>
      <w:color w:val="404040" w:themeColor="text1" w:themeTint="BF"/>
    </w:rPr>
  </w:style>
  <w:style w:type="paragraph" w:styleId="Paragraphedeliste">
    <w:name w:val="List Paragraph"/>
    <w:basedOn w:val="Normal"/>
    <w:uiPriority w:val="34"/>
    <w:qFormat/>
    <w:rsid w:val="00C97D85"/>
    <w:pPr>
      <w:ind w:left="720"/>
      <w:contextualSpacing/>
    </w:pPr>
  </w:style>
  <w:style w:type="character" w:styleId="Accentuationintense">
    <w:name w:val="Intense Emphasis"/>
    <w:basedOn w:val="Policepardfaut"/>
    <w:uiPriority w:val="21"/>
    <w:qFormat/>
    <w:rsid w:val="00C97D85"/>
    <w:rPr>
      <w:i/>
      <w:iCs/>
      <w:color w:val="0F4761" w:themeColor="accent1" w:themeShade="BF"/>
    </w:rPr>
  </w:style>
  <w:style w:type="paragraph" w:styleId="Citationintense">
    <w:name w:val="Intense Quote"/>
    <w:basedOn w:val="Normal"/>
    <w:next w:val="Normal"/>
    <w:link w:val="CitationintenseCar"/>
    <w:uiPriority w:val="30"/>
    <w:qFormat/>
    <w:rsid w:val="00C9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7D85"/>
    <w:rPr>
      <w:i/>
      <w:iCs/>
      <w:color w:val="0F4761" w:themeColor="accent1" w:themeShade="BF"/>
    </w:rPr>
  </w:style>
  <w:style w:type="character" w:styleId="Rfrenceintense">
    <w:name w:val="Intense Reference"/>
    <w:basedOn w:val="Policepardfaut"/>
    <w:uiPriority w:val="32"/>
    <w:qFormat/>
    <w:rsid w:val="00C97D85"/>
    <w:rPr>
      <w:b/>
      <w:bCs/>
      <w:smallCaps/>
      <w:color w:val="0F4761" w:themeColor="accent1" w:themeShade="BF"/>
      <w:spacing w:val="5"/>
    </w:rPr>
  </w:style>
  <w:style w:type="character" w:styleId="Marquedecommentaire">
    <w:name w:val="annotation reference"/>
    <w:basedOn w:val="Policepardfaut"/>
    <w:uiPriority w:val="99"/>
    <w:semiHidden/>
    <w:unhideWhenUsed/>
    <w:rsid w:val="00CC3B8F"/>
    <w:rPr>
      <w:sz w:val="16"/>
      <w:szCs w:val="16"/>
    </w:rPr>
  </w:style>
  <w:style w:type="paragraph" w:styleId="Commentaire">
    <w:name w:val="annotation text"/>
    <w:basedOn w:val="Normal"/>
    <w:link w:val="CommentaireCar"/>
    <w:uiPriority w:val="99"/>
    <w:unhideWhenUsed/>
    <w:rsid w:val="00CC3B8F"/>
    <w:pPr>
      <w:spacing w:line="240" w:lineRule="auto"/>
    </w:pPr>
    <w:rPr>
      <w:sz w:val="20"/>
      <w:szCs w:val="20"/>
    </w:rPr>
  </w:style>
  <w:style w:type="character" w:customStyle="1" w:styleId="CommentaireCar">
    <w:name w:val="Commentaire Car"/>
    <w:basedOn w:val="Policepardfaut"/>
    <w:link w:val="Commentaire"/>
    <w:uiPriority w:val="99"/>
    <w:rsid w:val="00CC3B8F"/>
    <w:rPr>
      <w:sz w:val="20"/>
      <w:szCs w:val="20"/>
    </w:rPr>
  </w:style>
  <w:style w:type="paragraph" w:styleId="Objetducommentaire">
    <w:name w:val="annotation subject"/>
    <w:basedOn w:val="Commentaire"/>
    <w:next w:val="Commentaire"/>
    <w:link w:val="ObjetducommentaireCar"/>
    <w:uiPriority w:val="99"/>
    <w:semiHidden/>
    <w:unhideWhenUsed/>
    <w:rsid w:val="00CC3B8F"/>
    <w:rPr>
      <w:b/>
      <w:bCs/>
    </w:rPr>
  </w:style>
  <w:style w:type="character" w:customStyle="1" w:styleId="ObjetducommentaireCar">
    <w:name w:val="Objet du commentaire Car"/>
    <w:basedOn w:val="CommentaireCar"/>
    <w:link w:val="Objetducommentaire"/>
    <w:uiPriority w:val="99"/>
    <w:semiHidden/>
    <w:rsid w:val="00CC3B8F"/>
    <w:rPr>
      <w:b/>
      <w:bCs/>
      <w:sz w:val="20"/>
      <w:szCs w:val="20"/>
    </w:rPr>
  </w:style>
  <w:style w:type="table" w:styleId="Grilledutableau">
    <w:name w:val="Table Grid"/>
    <w:basedOn w:val="TableauNormal"/>
    <w:uiPriority w:val="39"/>
    <w:rsid w:val="007858B7"/>
    <w:pPr>
      <w:spacing w:after="0" w:line="240" w:lineRule="auto"/>
    </w:pPr>
    <w:rPr>
      <w:kern w:val="0"/>
      <w:sz w:val="22"/>
      <w:szCs w:val="22"/>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Char"/>
    <w:uiPriority w:val="8"/>
    <w:qFormat/>
    <w:rsid w:val="007858B7"/>
    <w:pPr>
      <w:spacing w:before="60" w:after="60" w:line="240" w:lineRule="auto"/>
      <w:jc w:val="center"/>
    </w:pPr>
    <w:rPr>
      <w:rFonts w:ascii="Arial" w:hAnsi="Arial"/>
      <w:kern w:val="0"/>
      <w:sz w:val="14"/>
      <w:szCs w:val="22"/>
      <w14:ligatures w14:val="none"/>
    </w:rPr>
  </w:style>
  <w:style w:type="character" w:customStyle="1" w:styleId="TableChar">
    <w:name w:val="Table Char"/>
    <w:basedOn w:val="Policepardfaut"/>
    <w:link w:val="Table"/>
    <w:uiPriority w:val="8"/>
    <w:rsid w:val="007858B7"/>
    <w:rPr>
      <w:rFonts w:ascii="Arial" w:hAnsi="Arial"/>
      <w:kern w:val="0"/>
      <w:sz w:val="14"/>
      <w:szCs w:val="22"/>
      <w:lang w:val="fr-BE"/>
      <w14:ligatures w14:val="none"/>
    </w:rPr>
  </w:style>
  <w:style w:type="paragraph" w:styleId="Lgende">
    <w:name w:val="caption"/>
    <w:basedOn w:val="Normal"/>
    <w:next w:val="Normal"/>
    <w:uiPriority w:val="35"/>
    <w:unhideWhenUsed/>
    <w:rsid w:val="007858B7"/>
    <w:pPr>
      <w:widowControl w:val="0"/>
      <w:autoSpaceDE w:val="0"/>
      <w:autoSpaceDN w:val="0"/>
      <w:adjustRightInd w:val="0"/>
      <w:spacing w:after="200" w:line="240" w:lineRule="auto"/>
      <w:textAlignment w:val="center"/>
    </w:pPr>
    <w:rPr>
      <w:rFonts w:ascii="Arial" w:eastAsiaTheme="minorEastAsia" w:hAnsi="Arial" w:cs="Arial"/>
      <w:i/>
      <w:iCs/>
      <w:color w:val="0E2841" w:themeColor="text2"/>
      <w:kern w:val="0"/>
      <w:sz w:val="18"/>
      <w:szCs w:val="18"/>
      <w:lang w:val="nl-NL" w:eastAsia="nl-NL"/>
      <w14:ligatures w14:val="none"/>
    </w:rPr>
  </w:style>
  <w:style w:type="paragraph" w:styleId="Rvision">
    <w:name w:val="Revision"/>
    <w:hidden/>
    <w:uiPriority w:val="99"/>
    <w:semiHidden/>
    <w:rsid w:val="006046A2"/>
    <w:pPr>
      <w:spacing w:after="0" w:line="240" w:lineRule="auto"/>
    </w:pPr>
    <w:rPr>
      <w:lang w:val="fr-BE"/>
    </w:rPr>
  </w:style>
  <w:style w:type="character" w:styleId="Lienhypertexte">
    <w:name w:val="Hyperlink"/>
    <w:basedOn w:val="Policepardfaut"/>
    <w:uiPriority w:val="99"/>
    <w:unhideWhenUsed/>
    <w:rsid w:val="00496E58"/>
    <w:rPr>
      <w:color w:val="467886" w:themeColor="hyperlink"/>
      <w:u w:val="single"/>
    </w:rPr>
  </w:style>
  <w:style w:type="character" w:styleId="Mentionnonrsolue">
    <w:name w:val="Unresolved Mention"/>
    <w:basedOn w:val="Policepardfaut"/>
    <w:uiPriority w:val="99"/>
    <w:semiHidden/>
    <w:unhideWhenUsed/>
    <w:rsid w:val="00496E58"/>
    <w:rPr>
      <w:color w:val="605E5C"/>
      <w:shd w:val="clear" w:color="auto" w:fill="E1DFDD"/>
    </w:rPr>
  </w:style>
  <w:style w:type="character" w:styleId="Mention">
    <w:name w:val="Mention"/>
    <w:basedOn w:val="Policepardfaut"/>
    <w:uiPriority w:val="99"/>
    <w:unhideWhenUsed/>
    <w:rsid w:val="00C447E6"/>
    <w:rPr>
      <w:color w:val="2B579A"/>
      <w:shd w:val="clear" w:color="auto" w:fill="E1DFDD"/>
    </w:rPr>
  </w:style>
  <w:style w:type="paragraph" w:styleId="Notedebasdepage">
    <w:name w:val="footnote text"/>
    <w:basedOn w:val="Normal"/>
    <w:link w:val="NotedebasdepageCar"/>
    <w:uiPriority w:val="99"/>
    <w:semiHidden/>
    <w:unhideWhenUsed/>
    <w:rsid w:val="001E08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0855"/>
    <w:rPr>
      <w:sz w:val="20"/>
      <w:szCs w:val="20"/>
      <w:lang w:val="fr-BE"/>
    </w:rPr>
  </w:style>
  <w:style w:type="character" w:styleId="Appelnotedebasdep">
    <w:name w:val="footnote reference"/>
    <w:basedOn w:val="Policepardfaut"/>
    <w:uiPriority w:val="99"/>
    <w:semiHidden/>
    <w:unhideWhenUsed/>
    <w:rsid w:val="001E0855"/>
    <w:rPr>
      <w:vertAlign w:val="superscript"/>
    </w:rPr>
  </w:style>
  <w:style w:type="paragraph" w:styleId="En-tte">
    <w:name w:val="header"/>
    <w:basedOn w:val="Normal"/>
    <w:link w:val="En-tteCar"/>
    <w:uiPriority w:val="99"/>
    <w:unhideWhenUsed/>
    <w:rsid w:val="002E4B0A"/>
    <w:pPr>
      <w:tabs>
        <w:tab w:val="center" w:pos="4513"/>
        <w:tab w:val="right" w:pos="9026"/>
      </w:tabs>
      <w:spacing w:after="0" w:line="240" w:lineRule="auto"/>
    </w:pPr>
  </w:style>
  <w:style w:type="character" w:customStyle="1" w:styleId="En-tteCar">
    <w:name w:val="En-tête Car"/>
    <w:basedOn w:val="Policepardfaut"/>
    <w:link w:val="En-tte"/>
    <w:uiPriority w:val="99"/>
    <w:rsid w:val="002E4B0A"/>
    <w:rPr>
      <w:lang w:val="fr-BE"/>
    </w:rPr>
  </w:style>
  <w:style w:type="paragraph" w:styleId="Pieddepage">
    <w:name w:val="footer"/>
    <w:basedOn w:val="Normal"/>
    <w:link w:val="PieddepageCar"/>
    <w:uiPriority w:val="99"/>
    <w:unhideWhenUsed/>
    <w:rsid w:val="002E4B0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E4B0A"/>
    <w:rPr>
      <w:lang w:val="fr-BE"/>
    </w:rPr>
  </w:style>
  <w:style w:type="paragraph" w:styleId="NormalWeb">
    <w:name w:val="Normal (Web)"/>
    <w:basedOn w:val="Normal"/>
    <w:uiPriority w:val="99"/>
    <w:semiHidden/>
    <w:unhideWhenUsed/>
    <w:rsid w:val="00FF59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060">
      <w:bodyDiv w:val="1"/>
      <w:marLeft w:val="0"/>
      <w:marRight w:val="0"/>
      <w:marTop w:val="0"/>
      <w:marBottom w:val="0"/>
      <w:divBdr>
        <w:top w:val="none" w:sz="0" w:space="0" w:color="auto"/>
        <w:left w:val="none" w:sz="0" w:space="0" w:color="auto"/>
        <w:bottom w:val="none" w:sz="0" w:space="0" w:color="auto"/>
        <w:right w:val="none" w:sz="0" w:space="0" w:color="auto"/>
      </w:divBdr>
    </w:div>
    <w:div w:id="186875621">
      <w:bodyDiv w:val="1"/>
      <w:marLeft w:val="0"/>
      <w:marRight w:val="0"/>
      <w:marTop w:val="0"/>
      <w:marBottom w:val="0"/>
      <w:divBdr>
        <w:top w:val="none" w:sz="0" w:space="0" w:color="auto"/>
        <w:left w:val="none" w:sz="0" w:space="0" w:color="auto"/>
        <w:bottom w:val="none" w:sz="0" w:space="0" w:color="auto"/>
        <w:right w:val="none" w:sz="0" w:space="0" w:color="auto"/>
      </w:divBdr>
      <w:divsChild>
        <w:div w:id="1698463596">
          <w:marLeft w:val="0"/>
          <w:marRight w:val="0"/>
          <w:marTop w:val="0"/>
          <w:marBottom w:val="0"/>
          <w:divBdr>
            <w:top w:val="none" w:sz="0" w:space="0" w:color="auto"/>
            <w:left w:val="none" w:sz="0" w:space="0" w:color="auto"/>
            <w:bottom w:val="none" w:sz="0" w:space="0" w:color="auto"/>
            <w:right w:val="none" w:sz="0" w:space="0" w:color="auto"/>
          </w:divBdr>
        </w:div>
      </w:divsChild>
    </w:div>
    <w:div w:id="340358714">
      <w:bodyDiv w:val="1"/>
      <w:marLeft w:val="0"/>
      <w:marRight w:val="0"/>
      <w:marTop w:val="0"/>
      <w:marBottom w:val="0"/>
      <w:divBdr>
        <w:top w:val="none" w:sz="0" w:space="0" w:color="auto"/>
        <w:left w:val="none" w:sz="0" w:space="0" w:color="auto"/>
        <w:bottom w:val="none" w:sz="0" w:space="0" w:color="auto"/>
        <w:right w:val="none" w:sz="0" w:space="0" w:color="auto"/>
      </w:divBdr>
    </w:div>
    <w:div w:id="359820594">
      <w:bodyDiv w:val="1"/>
      <w:marLeft w:val="0"/>
      <w:marRight w:val="0"/>
      <w:marTop w:val="0"/>
      <w:marBottom w:val="0"/>
      <w:divBdr>
        <w:top w:val="none" w:sz="0" w:space="0" w:color="auto"/>
        <w:left w:val="none" w:sz="0" w:space="0" w:color="auto"/>
        <w:bottom w:val="none" w:sz="0" w:space="0" w:color="auto"/>
        <w:right w:val="none" w:sz="0" w:space="0" w:color="auto"/>
      </w:divBdr>
    </w:div>
    <w:div w:id="725757067">
      <w:bodyDiv w:val="1"/>
      <w:marLeft w:val="0"/>
      <w:marRight w:val="0"/>
      <w:marTop w:val="0"/>
      <w:marBottom w:val="0"/>
      <w:divBdr>
        <w:top w:val="none" w:sz="0" w:space="0" w:color="auto"/>
        <w:left w:val="none" w:sz="0" w:space="0" w:color="auto"/>
        <w:bottom w:val="none" w:sz="0" w:space="0" w:color="auto"/>
        <w:right w:val="none" w:sz="0" w:space="0" w:color="auto"/>
      </w:divBdr>
      <w:divsChild>
        <w:div w:id="43723003">
          <w:marLeft w:val="0"/>
          <w:marRight w:val="0"/>
          <w:marTop w:val="0"/>
          <w:marBottom w:val="0"/>
          <w:divBdr>
            <w:top w:val="none" w:sz="0" w:space="0" w:color="auto"/>
            <w:left w:val="none" w:sz="0" w:space="0" w:color="auto"/>
            <w:bottom w:val="none" w:sz="0" w:space="0" w:color="auto"/>
            <w:right w:val="none" w:sz="0" w:space="0" w:color="auto"/>
          </w:divBdr>
        </w:div>
      </w:divsChild>
    </w:div>
    <w:div w:id="727656112">
      <w:bodyDiv w:val="1"/>
      <w:marLeft w:val="0"/>
      <w:marRight w:val="0"/>
      <w:marTop w:val="0"/>
      <w:marBottom w:val="0"/>
      <w:divBdr>
        <w:top w:val="none" w:sz="0" w:space="0" w:color="auto"/>
        <w:left w:val="none" w:sz="0" w:space="0" w:color="auto"/>
        <w:bottom w:val="none" w:sz="0" w:space="0" w:color="auto"/>
        <w:right w:val="none" w:sz="0" w:space="0" w:color="auto"/>
      </w:divBdr>
    </w:div>
    <w:div w:id="879511554">
      <w:bodyDiv w:val="1"/>
      <w:marLeft w:val="0"/>
      <w:marRight w:val="0"/>
      <w:marTop w:val="0"/>
      <w:marBottom w:val="0"/>
      <w:divBdr>
        <w:top w:val="none" w:sz="0" w:space="0" w:color="auto"/>
        <w:left w:val="none" w:sz="0" w:space="0" w:color="auto"/>
        <w:bottom w:val="none" w:sz="0" w:space="0" w:color="auto"/>
        <w:right w:val="none" w:sz="0" w:space="0" w:color="auto"/>
      </w:divBdr>
      <w:divsChild>
        <w:div w:id="1751808417">
          <w:marLeft w:val="0"/>
          <w:marRight w:val="0"/>
          <w:marTop w:val="0"/>
          <w:marBottom w:val="0"/>
          <w:divBdr>
            <w:top w:val="none" w:sz="0" w:space="0" w:color="auto"/>
            <w:left w:val="none" w:sz="0" w:space="0" w:color="auto"/>
            <w:bottom w:val="none" w:sz="0" w:space="0" w:color="auto"/>
            <w:right w:val="none" w:sz="0" w:space="0" w:color="auto"/>
          </w:divBdr>
        </w:div>
      </w:divsChild>
    </w:div>
    <w:div w:id="1518426564">
      <w:bodyDiv w:val="1"/>
      <w:marLeft w:val="0"/>
      <w:marRight w:val="0"/>
      <w:marTop w:val="0"/>
      <w:marBottom w:val="0"/>
      <w:divBdr>
        <w:top w:val="none" w:sz="0" w:space="0" w:color="auto"/>
        <w:left w:val="none" w:sz="0" w:space="0" w:color="auto"/>
        <w:bottom w:val="none" w:sz="0" w:space="0" w:color="auto"/>
        <w:right w:val="none" w:sz="0" w:space="0" w:color="auto"/>
      </w:divBdr>
    </w:div>
    <w:div w:id="1670598856">
      <w:bodyDiv w:val="1"/>
      <w:marLeft w:val="0"/>
      <w:marRight w:val="0"/>
      <w:marTop w:val="0"/>
      <w:marBottom w:val="0"/>
      <w:divBdr>
        <w:top w:val="none" w:sz="0" w:space="0" w:color="auto"/>
        <w:left w:val="none" w:sz="0" w:space="0" w:color="auto"/>
        <w:bottom w:val="none" w:sz="0" w:space="0" w:color="auto"/>
        <w:right w:val="none" w:sz="0" w:space="0" w:color="auto"/>
      </w:divBdr>
      <w:divsChild>
        <w:div w:id="980233158">
          <w:marLeft w:val="0"/>
          <w:marRight w:val="0"/>
          <w:marTop w:val="0"/>
          <w:marBottom w:val="0"/>
          <w:divBdr>
            <w:top w:val="none" w:sz="0" w:space="0" w:color="auto"/>
            <w:left w:val="none" w:sz="0" w:space="0" w:color="auto"/>
            <w:bottom w:val="none" w:sz="0" w:space="0" w:color="auto"/>
            <w:right w:val="none" w:sz="0" w:space="0" w:color="auto"/>
          </w:divBdr>
        </w:div>
      </w:divsChild>
    </w:div>
    <w:div w:id="17288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lia.be/fr/clients/raccordement/se-raccorder-a-notre-reseau" TargetMode="External"/></Relationships>
</file>

<file path=word/documenttasks/documenttasks1.xml><?xml version="1.0" encoding="utf-8"?>
<t:Tasks xmlns:t="http://schemas.microsoft.com/office/tasks/2019/documenttasks" xmlns:oel="http://schemas.microsoft.com/office/2019/extlst">
  <t:Task id="{B1F2F4C0-43F2-4ED7-82C4-04CF015B61A6}">
    <t:Anchor>
      <t:Comment id="1576922274"/>
    </t:Anchor>
    <t:History>
      <t:Event id="{C9B5D30A-EA8C-4884-A7C8-EAE6251C208E}" time="2026-04-13T06:59:47.517Z">
        <t:Attribution userId="S::HJK251@Belgrid.net::a97555b8-e4bb-4058-adda-0d14bb4b4d31" userProvider="AD" userName="Tsiokanos Anna"/>
        <t:Anchor>
          <t:Comment id="1576922274"/>
        </t:Anchor>
        <t:Create/>
      </t:Event>
      <t:Event id="{84366107-3B35-4EBD-A56F-374E5AA99061}" time="2026-04-13T06:59:47.517Z">
        <t:Attribution userId="S::HJK251@Belgrid.net::a97555b8-e4bb-4058-adda-0d14bb4b4d31" userProvider="AD" userName="Tsiokanos Anna"/>
        <t:Anchor>
          <t:Comment id="1576922274"/>
        </t:Anchor>
        <t:Assign userId="S::BT5965@belgrid.net::ff65f69b-1006-4159-a3da-1b82a44d10b3" userProvider="AD" userName="Martin Benoît"/>
      </t:Event>
      <t:Event id="{CECB40C8-D09E-4668-ABDC-1127A76360DC}" time="2026-04-13T06:59:47.517Z">
        <t:Attribution userId="S::HJK251@Belgrid.net::a97555b8-e4bb-4058-adda-0d14bb4b4d31" userProvider="AD" userName="Tsiokanos Anna"/>
        <t:Anchor>
          <t:Comment id="1576922274"/>
        </t:Anchor>
        <t:SetTitle title="@Martin Benoît juste vérifier dans le contrat de raccordement actuel (2021 sur le site web d’elia) si étude détaillée ou étude de détail sont définis. Les 2 termes existent mais prends celui qui est déjà utilisé"/>
      </t:Event>
      <t:Event id="{39F0C784-0438-4076-9265-BCFC0E3BFFC2}" time="2026-04-13T11:38:03.538Z">
        <t:Attribution userId="S::BT5965@belgrid.net::ff65f69b-1006-4159-a3da-1b82a44d10b3" userProvider="AD" userName="Martin Benoît"/>
        <t:Anchor>
          <t:Comment id="1063921275"/>
        </t:Anchor>
        <t:UnassignAll/>
      </t:Event>
      <t:Event id="{8140A46E-59BF-4A7B-A2F3-1DCC017128DB}" time="2026-04-13T11:38:03.538Z">
        <t:Attribution userId="S::BT5965@belgrid.net::ff65f69b-1006-4159-a3da-1b82a44d10b3" userProvider="AD" userName="Martin Benoît"/>
        <t:Anchor>
          <t:Comment id="1063921275"/>
        </t:Anchor>
        <t:Assign userId="S::HJK251@Belgrid.net::a97555b8-e4bb-4058-adda-0d14bb4b4d31" userProvider="AD" userName="Tsiokanos A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CFBEE36E62549B45590D9A29A8C16" ma:contentTypeVersion="14" ma:contentTypeDescription="Crée un document." ma:contentTypeScope="" ma:versionID="600bc3bb245f53b6f322cf90b3cfabd9">
  <xsd:schema xmlns:xsd="http://www.w3.org/2001/XMLSchema" xmlns:xs="http://www.w3.org/2001/XMLSchema" xmlns:p="http://schemas.microsoft.com/office/2006/metadata/properties" xmlns:ns2="518e90e8-ea09-4ab7-8875-1906d0bac9c7" xmlns:ns3="b4eb81f8-1969-4364-9d58-c5577c67ee0e" xmlns:ns4="0fe18c6b-52e7-446f-9ecc-fe5e75cbff8d" targetNamespace="http://schemas.microsoft.com/office/2006/metadata/properties" ma:root="true" ma:fieldsID="f834fdee4ef78991c17754d505ffd653" ns2:_="" ns3:_="" ns4:_="">
    <xsd:import namespace="518e90e8-ea09-4ab7-8875-1906d0bac9c7"/>
    <xsd:import namespace="b4eb81f8-1969-4364-9d58-c5577c67ee0e"/>
    <xsd:import namespace="0fe18c6b-52e7-446f-9ecc-fe5e75cbff8d"/>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SharedWithUsers" minOccurs="0"/>
                <xsd:element ref="ns3:lcf76f155ced4ddcb4097134ff3c332f" minOccurs="0"/>
                <xsd:element ref="ns4:SharedWithDetails" minOccurs="0"/>
                <xsd:element ref="ns3:MediaServiceOCR"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1f1e403-8a84-42c9-ae5b-d71fea7bdd90}" ma:internalName="TaxCatchAll" ma:showField="CatchAllData" ma:web="0fe18c6b-52e7-446f-9ecc-fe5e75cbff8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f1e403-8a84-42c9-ae5b-d71fea7bdd90}" ma:internalName="TaxCatchAllLabel" ma:readOnly="true" ma:showField="CatchAllDataLabel" ma:web="0fe18c6b-52e7-446f-9ecc-fe5e75cbff8d">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b81f8-1969-4364-9d58-c5577c67ee0e" elementFormDefault="qualified">
    <xsd:import namespace="http://schemas.microsoft.com/office/2006/documentManagement/types"/>
    <xsd:import namespace="http://schemas.microsoft.com/office/infopath/2007/PartnerControls"/>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18c6b-52e7-446f-9ecc-fe5e75cbff8d"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52bfcb8-bce2-4279-b723-8ab1d206d08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ac1833ce3bd847999441bc0a5a5ff873 xmlns="518e90e8-ea09-4ab7-8875-1906d0bac9c7">
      <Terms xmlns="http://schemas.microsoft.com/office/infopath/2007/PartnerControls"/>
    </ac1833ce3bd847999441bc0a5a5ff873>
    <Old_x0020_Editor xmlns="518e90e8-ea09-4ab7-8875-1906d0bac9c7" xsi:nil="true"/>
    <lcf76f155ced4ddcb4097134ff3c332f xmlns="b4eb81f8-1969-4364-9d58-c5577c67ee0e">
      <Terms xmlns="http://schemas.microsoft.com/office/infopath/2007/PartnerControls"/>
    </lcf76f155ced4ddcb4097134ff3c332f>
    <Old_x0020_Path xmlns="518e90e8-ea09-4ab7-8875-1906d0bac9c7" xsi:nil="true"/>
    <Old_x0020_Author xmlns="518e90e8-ea09-4ab7-8875-1906d0bac9c7" xsi:nil="true"/>
    <Old_x0020_ID xmlns="518e90e8-ea09-4ab7-8875-1906d0bac9c7" xsi:nil="true"/>
    <Source xmlns="518e90e8-ea09-4ab7-8875-1906d0bac9c7" xsi:nil="true"/>
    <TaxCatchAll xmlns="518e90e8-ea09-4ab7-8875-1906d0bac9c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0CCD-1C27-4187-B00F-0F6653E2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b4eb81f8-1969-4364-9d58-c5577c67ee0e"/>
    <ds:schemaRef ds:uri="0fe18c6b-52e7-446f-9ecc-fe5e75cb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E7F6F-0CA0-4952-8B8C-8AA906852D69}">
  <ds:schemaRefs>
    <ds:schemaRef ds:uri="http://schemas.microsoft.com/sharepoint/v3/contenttype/forms"/>
  </ds:schemaRefs>
</ds:datastoreItem>
</file>

<file path=customXml/itemProps3.xml><?xml version="1.0" encoding="utf-8"?>
<ds:datastoreItem xmlns:ds="http://schemas.openxmlformats.org/officeDocument/2006/customXml" ds:itemID="{4214400B-EAB1-4890-818D-5A0ACAB3CFBC}">
  <ds:schemaRefs>
    <ds:schemaRef ds:uri="Microsoft.SharePoint.Taxonomy.ContentTypeSync"/>
  </ds:schemaRefs>
</ds:datastoreItem>
</file>

<file path=customXml/itemProps4.xml><?xml version="1.0" encoding="utf-8"?>
<ds:datastoreItem xmlns:ds="http://schemas.openxmlformats.org/officeDocument/2006/customXml" ds:itemID="{80F04052-362D-44D9-AA2D-4F8A3B6F2B97}">
  <ds:schemaRefs>
    <ds:schemaRef ds:uri="http://schemas.microsoft.com/office/2006/metadata/properties"/>
    <ds:schemaRef ds:uri="http://schemas.microsoft.com/office/infopath/2007/PartnerControls"/>
    <ds:schemaRef ds:uri="518e90e8-ea09-4ab7-8875-1906d0bac9c7"/>
    <ds:schemaRef ds:uri="b4eb81f8-1969-4364-9d58-c5577c67ee0e"/>
  </ds:schemaRefs>
</ds:datastoreItem>
</file>

<file path=customXml/itemProps5.xml><?xml version="1.0" encoding="utf-8"?>
<ds:datastoreItem xmlns:ds="http://schemas.openxmlformats.org/officeDocument/2006/customXml" ds:itemID="{0D13F4AA-66A8-44F6-807C-B688378A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6300</CharactersWithSpaces>
  <SharedDoc>false</SharedDoc>
  <HLinks>
    <vt:vector size="6" baseType="variant">
      <vt:variant>
        <vt:i4>2621539</vt:i4>
      </vt:variant>
      <vt:variant>
        <vt:i4>0</vt:i4>
      </vt:variant>
      <vt:variant>
        <vt:i4>0</vt:i4>
      </vt:variant>
      <vt:variant>
        <vt:i4>5</vt:i4>
      </vt:variant>
      <vt:variant>
        <vt:lpwstr>https://www.elia.be/fr/clients/raccordement/se-raccorder-a-notre-reseau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Benoît</dc:creator>
  <cp:keywords/>
  <dc:description/>
  <cp:lastModifiedBy>Valérie DELENTREE</cp:lastModifiedBy>
  <cp:revision>8</cp:revision>
  <dcterms:created xsi:type="dcterms:W3CDTF">2026-05-27T14:58:00Z</dcterms:created>
  <dcterms:modified xsi:type="dcterms:W3CDTF">2026-06-11T12:18:00Z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0x0101009F5CFBEE36E62549B45590D9A29A8C16</vt:lpwstr>
  </property>
  <property fmtid="{D5CDD505-2E9C-101B-9397-08002B2CF9AE}" pid="3" name="Storage_x0020_period">
    <vt:lpwstr/>
  </property>
  <property fmtid="{D5CDD505-2E9C-101B-9397-08002B2CF9AE}" pid="4" name="MediaServiceImageTags">
    <vt:lpwstr/>
  </property>
  <property fmtid="{D5CDD505-2E9C-101B-9397-08002B2CF9AE}" pid="5" name="Storage period">
    <vt:lpwstr/>
  </property>
  <property fmtid="{D5CDD505-2E9C-101B-9397-08002B2CF9AE}" pid="6" name="docLang">
    <vt:lpwstr>fr</vt:lpwstr>
  </property>
</Properties>
</file>