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102" w:type="dxa"/>
        <w:tblLayout w:type="fixed"/>
        <w:tblLook w:val="04A0" w:firstRow="1" w:lastRow="0" w:firstColumn="1" w:lastColumn="0" w:noHBand="0" w:noVBand="1"/>
      </w:tblPr>
      <w:tblGrid>
        <w:gridCol w:w="1439"/>
        <w:gridCol w:w="683"/>
        <w:gridCol w:w="708"/>
        <w:gridCol w:w="2694"/>
        <w:gridCol w:w="425"/>
        <w:gridCol w:w="1479"/>
        <w:gridCol w:w="364"/>
        <w:gridCol w:w="1310"/>
      </w:tblGrid>
      <w:tr w:rsidR="00825CB5" w:rsidRPr="007A7C00" w:rsidTr="005F0ECB">
        <w:trPr>
          <w:trHeight w:val="850"/>
        </w:trPr>
        <w:tc>
          <w:tcPr>
            <w:tcW w:w="9102" w:type="dxa"/>
            <w:gridSpan w:val="8"/>
            <w:tcBorders>
              <w:bottom w:val="single" w:sz="4" w:space="0" w:color="auto"/>
            </w:tcBorders>
            <w:shd w:val="clear" w:color="auto" w:fill="D9E2F3" w:themeFill="accent5" w:themeFillTint="33"/>
            <w:vAlign w:val="center"/>
          </w:tcPr>
          <w:p w:rsidR="00825CB5" w:rsidRPr="007A7C00" w:rsidRDefault="006A0378" w:rsidP="006A0378">
            <w:pPr>
              <w:jc w:val="center"/>
              <w:rPr>
                <w:b/>
                <w:sz w:val="36"/>
              </w:rPr>
            </w:pPr>
            <w:r w:rsidRPr="007A7C00">
              <w:rPr>
                <w:b/>
                <w:sz w:val="36"/>
              </w:rPr>
              <w:t>Raccordements : Forfaits applicable</w:t>
            </w:r>
            <w:r w:rsidR="00C53D59">
              <w:rPr>
                <w:b/>
                <w:sz w:val="36"/>
              </w:rPr>
              <w:t>s</w:t>
            </w:r>
            <w:r w:rsidRPr="007A7C00">
              <w:rPr>
                <w:b/>
                <w:sz w:val="36"/>
              </w:rPr>
              <w:t xml:space="preserve"> aux études </w:t>
            </w:r>
          </w:p>
        </w:tc>
      </w:tr>
      <w:tr w:rsidR="00825CB5" w:rsidRPr="007A7C00" w:rsidTr="005F0ECB">
        <w:tc>
          <w:tcPr>
            <w:tcW w:w="5524" w:type="dxa"/>
            <w:gridSpan w:val="4"/>
            <w:tcBorders>
              <w:top w:val="single" w:sz="4" w:space="0" w:color="auto"/>
              <w:left w:val="nil"/>
              <w:bottom w:val="single" w:sz="4" w:space="0" w:color="auto"/>
              <w:right w:val="nil"/>
            </w:tcBorders>
          </w:tcPr>
          <w:p w:rsidR="00825CB5" w:rsidRPr="007A7C00" w:rsidRDefault="00825CB5" w:rsidP="004C1DFD"/>
        </w:tc>
        <w:tc>
          <w:tcPr>
            <w:tcW w:w="1904" w:type="dxa"/>
            <w:gridSpan w:val="2"/>
            <w:tcBorders>
              <w:top w:val="single" w:sz="4" w:space="0" w:color="auto"/>
              <w:left w:val="nil"/>
              <w:bottom w:val="single" w:sz="4" w:space="0" w:color="auto"/>
              <w:right w:val="nil"/>
            </w:tcBorders>
          </w:tcPr>
          <w:p w:rsidR="00825CB5" w:rsidRPr="007A7C00" w:rsidRDefault="00825CB5" w:rsidP="004C1DFD"/>
        </w:tc>
        <w:tc>
          <w:tcPr>
            <w:tcW w:w="1674" w:type="dxa"/>
            <w:gridSpan w:val="2"/>
            <w:tcBorders>
              <w:top w:val="single" w:sz="4" w:space="0" w:color="auto"/>
              <w:left w:val="nil"/>
              <w:bottom w:val="single" w:sz="4" w:space="0" w:color="auto"/>
              <w:right w:val="nil"/>
            </w:tcBorders>
          </w:tcPr>
          <w:p w:rsidR="00825CB5" w:rsidRPr="007A7C00" w:rsidRDefault="00825CB5" w:rsidP="004C1DFD"/>
        </w:tc>
      </w:tr>
      <w:tr w:rsidR="00825CB5" w:rsidRPr="007A7C00" w:rsidTr="005F0ECB">
        <w:tc>
          <w:tcPr>
            <w:tcW w:w="5524" w:type="dxa"/>
            <w:gridSpan w:val="4"/>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p>
        </w:tc>
        <w:tc>
          <w:tcPr>
            <w:tcW w:w="1904" w:type="dxa"/>
            <w:gridSpan w:val="2"/>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r w:rsidRPr="007A7C00">
              <w:rPr>
                <w:b/>
                <w:sz w:val="28"/>
              </w:rPr>
              <w:t>ORIENTATION</w:t>
            </w:r>
          </w:p>
        </w:tc>
        <w:tc>
          <w:tcPr>
            <w:tcW w:w="1674" w:type="dxa"/>
            <w:gridSpan w:val="2"/>
            <w:tcBorders>
              <w:top w:val="single" w:sz="4" w:space="0" w:color="auto"/>
              <w:left w:val="single" w:sz="4" w:space="0" w:color="auto"/>
              <w:bottom w:val="single" w:sz="4" w:space="0" w:color="auto"/>
              <w:right w:val="single" w:sz="4" w:space="0" w:color="auto"/>
            </w:tcBorders>
            <w:vAlign w:val="center"/>
          </w:tcPr>
          <w:p w:rsidR="00825CB5" w:rsidRPr="007A7C00" w:rsidRDefault="00825CB5" w:rsidP="00B93DC7">
            <w:pPr>
              <w:jc w:val="center"/>
              <w:rPr>
                <w:b/>
                <w:sz w:val="28"/>
              </w:rPr>
            </w:pPr>
            <w:r w:rsidRPr="007A7C00">
              <w:rPr>
                <w:b/>
                <w:sz w:val="28"/>
              </w:rPr>
              <w:t>DETAIL</w:t>
            </w:r>
          </w:p>
        </w:tc>
      </w:tr>
      <w:tr w:rsidR="00825CB5" w:rsidRPr="005E725F" w:rsidTr="005E10AE">
        <w:trPr>
          <w:trHeight w:val="680"/>
        </w:trPr>
        <w:tc>
          <w:tcPr>
            <w:tcW w:w="9102" w:type="dxa"/>
            <w:gridSpan w:val="8"/>
            <w:tcBorders>
              <w:top w:val="single" w:sz="4" w:space="0" w:color="auto"/>
            </w:tcBorders>
            <w:shd w:val="clear" w:color="auto" w:fill="D9E2F3" w:themeFill="accent5" w:themeFillTint="33"/>
            <w:vAlign w:val="center"/>
          </w:tcPr>
          <w:p w:rsidR="00825CB5" w:rsidRPr="005E725F" w:rsidRDefault="0063274A" w:rsidP="00D226D5">
            <w:pPr>
              <w:rPr>
                <w:b/>
                <w:sz w:val="28"/>
              </w:rPr>
            </w:pPr>
            <w:r>
              <w:rPr>
                <w:b/>
                <w:sz w:val="28"/>
              </w:rPr>
              <w:t>Débit</w:t>
            </w:r>
            <w:r w:rsidR="00D226D5">
              <w:rPr>
                <w:b/>
                <w:sz w:val="28"/>
              </w:rPr>
              <w:t xml:space="preserve"> maximum global – prélèvement ou injection</w:t>
            </w:r>
          </w:p>
        </w:tc>
      </w:tr>
      <w:tr w:rsidR="00141E7E" w:rsidRPr="005E725F" w:rsidTr="00C53D59">
        <w:trPr>
          <w:trHeight w:val="340"/>
        </w:trPr>
        <w:tc>
          <w:tcPr>
            <w:tcW w:w="1439" w:type="dxa"/>
            <w:tcBorders>
              <w:right w:val="nil"/>
            </w:tcBorders>
            <w:vAlign w:val="center"/>
          </w:tcPr>
          <w:p w:rsidR="00141E7E" w:rsidRPr="005E725F" w:rsidRDefault="00141E7E" w:rsidP="00141E7E">
            <w:pPr>
              <w:jc w:val="right"/>
              <w:rPr>
                <w:sz w:val="20"/>
              </w:rPr>
            </w:pPr>
            <w:r w:rsidRPr="005E725F">
              <w:rPr>
                <w:sz w:val="20"/>
              </w:rPr>
              <w:t>0</w:t>
            </w:r>
          </w:p>
        </w:tc>
        <w:tc>
          <w:tcPr>
            <w:tcW w:w="683" w:type="dxa"/>
            <w:tcBorders>
              <w:left w:val="nil"/>
              <w:right w:val="nil"/>
            </w:tcBorders>
            <w:vAlign w:val="center"/>
          </w:tcPr>
          <w:p w:rsidR="00141E7E" w:rsidRPr="005E725F" w:rsidRDefault="00141E7E" w:rsidP="00141E7E">
            <w:pPr>
              <w:rPr>
                <w:sz w:val="20"/>
              </w:rPr>
            </w:pPr>
            <w:r w:rsidRPr="005E725F">
              <w:rPr>
                <w:sz w:val="20"/>
              </w:rPr>
              <w:t xml:space="preserve">≤ </w:t>
            </w:r>
            <w:r>
              <w:rPr>
                <w:sz w:val="20"/>
              </w:rPr>
              <w:t>D</w:t>
            </w:r>
            <w:r w:rsidRPr="005E725F">
              <w:rPr>
                <w:sz w:val="20"/>
              </w:rPr>
              <w:t xml:space="preserve"> ≤</w:t>
            </w:r>
          </w:p>
        </w:tc>
        <w:tc>
          <w:tcPr>
            <w:tcW w:w="708" w:type="dxa"/>
            <w:tcBorders>
              <w:left w:val="nil"/>
              <w:right w:val="nil"/>
            </w:tcBorders>
            <w:vAlign w:val="center"/>
          </w:tcPr>
          <w:p w:rsidR="00141E7E" w:rsidRPr="005E725F" w:rsidRDefault="00141E7E" w:rsidP="00141E7E">
            <w:pPr>
              <w:jc w:val="right"/>
              <w:rPr>
                <w:sz w:val="20"/>
              </w:rPr>
            </w:pPr>
            <w:r>
              <w:rPr>
                <w:sz w:val="20"/>
              </w:rPr>
              <w:t>40</w:t>
            </w:r>
          </w:p>
        </w:tc>
        <w:tc>
          <w:tcPr>
            <w:tcW w:w="2694" w:type="dxa"/>
            <w:tcBorders>
              <w:left w:val="nil"/>
            </w:tcBorders>
            <w:vAlign w:val="center"/>
          </w:tcPr>
          <w:p w:rsidR="00141E7E" w:rsidRPr="005F0ECB" w:rsidRDefault="00141E7E" w:rsidP="00141E7E">
            <w:pPr>
              <w:rPr>
                <w:sz w:val="20"/>
                <w:szCs w:val="20"/>
              </w:rPr>
            </w:pPr>
            <w:r w:rsidRPr="005F0ECB">
              <w:rPr>
                <w:sz w:val="20"/>
                <w:szCs w:val="20"/>
              </w:rPr>
              <w:t>Nm³/h</w:t>
            </w:r>
          </w:p>
        </w:tc>
        <w:tc>
          <w:tcPr>
            <w:tcW w:w="425" w:type="dxa"/>
            <w:tcBorders>
              <w:right w:val="nil"/>
            </w:tcBorders>
            <w:vAlign w:val="center"/>
          </w:tcPr>
          <w:p w:rsidR="00141E7E" w:rsidRPr="005E725F" w:rsidRDefault="00141E7E" w:rsidP="00141E7E">
            <w:pPr>
              <w:rPr>
                <w:sz w:val="20"/>
              </w:rPr>
            </w:pPr>
            <w:r w:rsidRPr="005E725F">
              <w:rPr>
                <w:sz w:val="20"/>
              </w:rPr>
              <w:t>€</w:t>
            </w:r>
          </w:p>
        </w:tc>
        <w:tc>
          <w:tcPr>
            <w:tcW w:w="1479" w:type="dxa"/>
            <w:tcBorders>
              <w:left w:val="nil"/>
            </w:tcBorders>
            <w:vAlign w:val="center"/>
          </w:tcPr>
          <w:p w:rsidR="00141E7E" w:rsidRPr="00141E7E" w:rsidRDefault="00141E7E" w:rsidP="00141E7E">
            <w:pPr>
              <w:jc w:val="right"/>
              <w:rPr>
                <w:sz w:val="20"/>
                <w:szCs w:val="20"/>
              </w:rPr>
            </w:pPr>
            <w:r w:rsidRPr="00141E7E">
              <w:rPr>
                <w:sz w:val="20"/>
                <w:szCs w:val="20"/>
              </w:rPr>
              <w:t>0</w:t>
            </w:r>
            <w:r w:rsidR="005E10AE">
              <w:rPr>
                <w:sz w:val="20"/>
                <w:szCs w:val="20"/>
              </w:rPr>
              <w:t>,00</w:t>
            </w:r>
          </w:p>
        </w:tc>
        <w:tc>
          <w:tcPr>
            <w:tcW w:w="364" w:type="dxa"/>
            <w:tcBorders>
              <w:right w:val="nil"/>
            </w:tcBorders>
            <w:vAlign w:val="center"/>
          </w:tcPr>
          <w:p w:rsidR="00141E7E" w:rsidRPr="005E725F" w:rsidRDefault="00141E7E" w:rsidP="00141E7E">
            <w:pPr>
              <w:jc w:val="right"/>
              <w:rPr>
                <w:sz w:val="20"/>
              </w:rPr>
            </w:pPr>
            <w:r w:rsidRPr="005E725F">
              <w:rPr>
                <w:sz w:val="20"/>
              </w:rPr>
              <w:t>€</w:t>
            </w:r>
          </w:p>
        </w:tc>
        <w:tc>
          <w:tcPr>
            <w:tcW w:w="1310" w:type="dxa"/>
            <w:tcBorders>
              <w:left w:val="nil"/>
            </w:tcBorders>
            <w:vAlign w:val="center"/>
          </w:tcPr>
          <w:p w:rsidR="00141E7E" w:rsidRPr="00141E7E" w:rsidRDefault="00141E7E" w:rsidP="00141E7E">
            <w:pPr>
              <w:jc w:val="right"/>
              <w:rPr>
                <w:sz w:val="20"/>
                <w:szCs w:val="20"/>
              </w:rPr>
            </w:pPr>
            <w:r w:rsidRPr="00141E7E">
              <w:rPr>
                <w:sz w:val="20"/>
                <w:szCs w:val="20"/>
              </w:rPr>
              <w:t>108,5</w:t>
            </w:r>
            <w:r w:rsidR="00C53D59">
              <w:rPr>
                <w:sz w:val="20"/>
                <w:szCs w:val="20"/>
              </w:rPr>
              <w:t>0</w:t>
            </w:r>
          </w:p>
        </w:tc>
      </w:tr>
      <w:tr w:rsidR="00141E7E" w:rsidRPr="005E725F" w:rsidTr="00C53D59">
        <w:trPr>
          <w:trHeight w:val="340"/>
        </w:trPr>
        <w:tc>
          <w:tcPr>
            <w:tcW w:w="1439" w:type="dxa"/>
            <w:tcBorders>
              <w:right w:val="nil"/>
            </w:tcBorders>
            <w:vAlign w:val="center"/>
          </w:tcPr>
          <w:p w:rsidR="00141E7E" w:rsidRPr="005E725F" w:rsidRDefault="00141E7E" w:rsidP="00141E7E">
            <w:pPr>
              <w:jc w:val="right"/>
              <w:rPr>
                <w:sz w:val="20"/>
              </w:rPr>
            </w:pPr>
            <w:r>
              <w:rPr>
                <w:sz w:val="20"/>
              </w:rPr>
              <w:t>40</w:t>
            </w:r>
          </w:p>
        </w:tc>
        <w:tc>
          <w:tcPr>
            <w:tcW w:w="683" w:type="dxa"/>
            <w:tcBorders>
              <w:left w:val="nil"/>
              <w:right w:val="nil"/>
            </w:tcBorders>
            <w:vAlign w:val="center"/>
          </w:tcPr>
          <w:p w:rsidR="00141E7E" w:rsidRPr="005E725F" w:rsidRDefault="00141E7E" w:rsidP="00141E7E">
            <w:pPr>
              <w:rPr>
                <w:sz w:val="20"/>
              </w:rPr>
            </w:pPr>
            <w:r w:rsidRPr="005E725F">
              <w:rPr>
                <w:sz w:val="20"/>
              </w:rPr>
              <w:t xml:space="preserve">&lt; </w:t>
            </w:r>
            <w:r>
              <w:rPr>
                <w:sz w:val="20"/>
              </w:rPr>
              <w:t>D</w:t>
            </w:r>
            <w:r w:rsidRPr="005E725F">
              <w:rPr>
                <w:sz w:val="20"/>
              </w:rPr>
              <w:t xml:space="preserve"> ≤</w:t>
            </w:r>
          </w:p>
        </w:tc>
        <w:tc>
          <w:tcPr>
            <w:tcW w:w="708" w:type="dxa"/>
            <w:tcBorders>
              <w:left w:val="nil"/>
              <w:right w:val="nil"/>
            </w:tcBorders>
            <w:vAlign w:val="center"/>
          </w:tcPr>
          <w:p w:rsidR="00141E7E" w:rsidRPr="005E725F" w:rsidRDefault="00141E7E" w:rsidP="00141E7E">
            <w:pPr>
              <w:jc w:val="right"/>
              <w:rPr>
                <w:sz w:val="20"/>
              </w:rPr>
            </w:pPr>
            <w:r>
              <w:rPr>
                <w:sz w:val="20"/>
              </w:rPr>
              <w:t>100</w:t>
            </w:r>
            <w:r w:rsidRPr="005E725F">
              <w:rPr>
                <w:sz w:val="20"/>
              </w:rPr>
              <w:t xml:space="preserve"> </w:t>
            </w:r>
          </w:p>
        </w:tc>
        <w:tc>
          <w:tcPr>
            <w:tcW w:w="2694" w:type="dxa"/>
            <w:tcBorders>
              <w:left w:val="nil"/>
            </w:tcBorders>
            <w:vAlign w:val="center"/>
          </w:tcPr>
          <w:p w:rsidR="00141E7E" w:rsidRPr="005F0ECB" w:rsidRDefault="00141E7E" w:rsidP="00141E7E">
            <w:pPr>
              <w:rPr>
                <w:sz w:val="20"/>
                <w:szCs w:val="20"/>
              </w:rPr>
            </w:pPr>
            <w:r w:rsidRPr="005F0ECB">
              <w:rPr>
                <w:sz w:val="20"/>
                <w:szCs w:val="20"/>
              </w:rPr>
              <w:t>Nm³/h</w:t>
            </w:r>
          </w:p>
        </w:tc>
        <w:tc>
          <w:tcPr>
            <w:tcW w:w="425" w:type="dxa"/>
            <w:tcBorders>
              <w:right w:val="nil"/>
            </w:tcBorders>
            <w:vAlign w:val="center"/>
          </w:tcPr>
          <w:p w:rsidR="00141E7E" w:rsidRPr="005E725F" w:rsidRDefault="00141E7E" w:rsidP="00141E7E">
            <w:pPr>
              <w:rPr>
                <w:sz w:val="20"/>
              </w:rPr>
            </w:pPr>
            <w:r w:rsidRPr="005E725F">
              <w:rPr>
                <w:sz w:val="20"/>
              </w:rPr>
              <w:t>€</w:t>
            </w:r>
          </w:p>
        </w:tc>
        <w:tc>
          <w:tcPr>
            <w:tcW w:w="1479" w:type="dxa"/>
            <w:tcBorders>
              <w:left w:val="nil"/>
            </w:tcBorders>
            <w:vAlign w:val="center"/>
          </w:tcPr>
          <w:p w:rsidR="00141E7E" w:rsidRPr="00141E7E" w:rsidRDefault="00141E7E" w:rsidP="00141E7E">
            <w:pPr>
              <w:jc w:val="right"/>
              <w:rPr>
                <w:sz w:val="20"/>
                <w:szCs w:val="20"/>
              </w:rPr>
            </w:pPr>
            <w:r w:rsidRPr="00141E7E">
              <w:rPr>
                <w:sz w:val="20"/>
                <w:szCs w:val="20"/>
              </w:rPr>
              <w:t>108,5</w:t>
            </w:r>
            <w:r w:rsidR="00C53D59">
              <w:rPr>
                <w:sz w:val="20"/>
                <w:szCs w:val="20"/>
              </w:rPr>
              <w:t>0</w:t>
            </w:r>
          </w:p>
        </w:tc>
        <w:tc>
          <w:tcPr>
            <w:tcW w:w="364" w:type="dxa"/>
            <w:tcBorders>
              <w:right w:val="nil"/>
            </w:tcBorders>
            <w:vAlign w:val="center"/>
          </w:tcPr>
          <w:p w:rsidR="00141E7E" w:rsidRPr="005E725F" w:rsidRDefault="00141E7E" w:rsidP="00141E7E">
            <w:pPr>
              <w:jc w:val="right"/>
              <w:rPr>
                <w:sz w:val="20"/>
              </w:rPr>
            </w:pPr>
            <w:r w:rsidRPr="005E725F">
              <w:rPr>
                <w:sz w:val="20"/>
              </w:rPr>
              <w:t>€</w:t>
            </w:r>
          </w:p>
        </w:tc>
        <w:tc>
          <w:tcPr>
            <w:tcW w:w="1310" w:type="dxa"/>
            <w:tcBorders>
              <w:left w:val="nil"/>
            </w:tcBorders>
            <w:vAlign w:val="center"/>
          </w:tcPr>
          <w:p w:rsidR="00141E7E" w:rsidRPr="00141E7E" w:rsidRDefault="00141E7E" w:rsidP="00141E7E">
            <w:pPr>
              <w:jc w:val="right"/>
              <w:rPr>
                <w:sz w:val="20"/>
                <w:szCs w:val="20"/>
              </w:rPr>
            </w:pPr>
            <w:r w:rsidRPr="00141E7E">
              <w:rPr>
                <w:sz w:val="20"/>
                <w:szCs w:val="20"/>
              </w:rPr>
              <w:t>215,94</w:t>
            </w:r>
          </w:p>
        </w:tc>
      </w:tr>
      <w:tr w:rsidR="00141E7E" w:rsidRPr="005E725F" w:rsidTr="00C53D59">
        <w:trPr>
          <w:trHeight w:val="340"/>
        </w:trPr>
        <w:tc>
          <w:tcPr>
            <w:tcW w:w="1439" w:type="dxa"/>
            <w:tcBorders>
              <w:right w:val="nil"/>
            </w:tcBorders>
            <w:vAlign w:val="center"/>
          </w:tcPr>
          <w:p w:rsidR="00141E7E" w:rsidRPr="005E725F" w:rsidRDefault="00141E7E" w:rsidP="00141E7E">
            <w:pPr>
              <w:jc w:val="right"/>
              <w:rPr>
                <w:sz w:val="20"/>
              </w:rPr>
            </w:pPr>
            <w:r>
              <w:rPr>
                <w:sz w:val="20"/>
              </w:rPr>
              <w:t>100</w:t>
            </w:r>
          </w:p>
        </w:tc>
        <w:tc>
          <w:tcPr>
            <w:tcW w:w="683" w:type="dxa"/>
            <w:tcBorders>
              <w:left w:val="nil"/>
              <w:right w:val="nil"/>
            </w:tcBorders>
            <w:vAlign w:val="center"/>
          </w:tcPr>
          <w:p w:rsidR="00141E7E" w:rsidRPr="005E725F" w:rsidRDefault="00141E7E" w:rsidP="00141E7E">
            <w:pPr>
              <w:rPr>
                <w:sz w:val="20"/>
              </w:rPr>
            </w:pPr>
            <w:r w:rsidRPr="005E725F">
              <w:rPr>
                <w:sz w:val="20"/>
              </w:rPr>
              <w:t xml:space="preserve">&lt; </w:t>
            </w:r>
            <w:r>
              <w:rPr>
                <w:sz w:val="20"/>
              </w:rPr>
              <w:t>D</w:t>
            </w:r>
            <w:r w:rsidRPr="005E725F">
              <w:rPr>
                <w:sz w:val="20"/>
              </w:rPr>
              <w:t xml:space="preserve"> ≤</w:t>
            </w:r>
          </w:p>
        </w:tc>
        <w:tc>
          <w:tcPr>
            <w:tcW w:w="708" w:type="dxa"/>
            <w:tcBorders>
              <w:left w:val="nil"/>
              <w:right w:val="nil"/>
            </w:tcBorders>
            <w:vAlign w:val="center"/>
          </w:tcPr>
          <w:p w:rsidR="00141E7E" w:rsidRPr="005E725F" w:rsidRDefault="00141E7E" w:rsidP="00141E7E">
            <w:pPr>
              <w:jc w:val="right"/>
              <w:rPr>
                <w:sz w:val="20"/>
              </w:rPr>
            </w:pPr>
            <w:r>
              <w:rPr>
                <w:sz w:val="20"/>
              </w:rPr>
              <w:t>200</w:t>
            </w:r>
          </w:p>
        </w:tc>
        <w:tc>
          <w:tcPr>
            <w:tcW w:w="2694" w:type="dxa"/>
            <w:tcBorders>
              <w:left w:val="nil"/>
            </w:tcBorders>
            <w:vAlign w:val="center"/>
          </w:tcPr>
          <w:p w:rsidR="00141E7E" w:rsidRPr="005F0ECB" w:rsidRDefault="00141E7E" w:rsidP="00141E7E">
            <w:pPr>
              <w:rPr>
                <w:sz w:val="20"/>
                <w:szCs w:val="20"/>
              </w:rPr>
            </w:pPr>
            <w:r w:rsidRPr="005F0ECB">
              <w:rPr>
                <w:sz w:val="20"/>
                <w:szCs w:val="20"/>
              </w:rPr>
              <w:t>Nm³/h</w:t>
            </w:r>
          </w:p>
        </w:tc>
        <w:tc>
          <w:tcPr>
            <w:tcW w:w="425" w:type="dxa"/>
            <w:tcBorders>
              <w:right w:val="nil"/>
            </w:tcBorders>
            <w:vAlign w:val="center"/>
          </w:tcPr>
          <w:p w:rsidR="00141E7E" w:rsidRPr="005E725F" w:rsidRDefault="00141E7E" w:rsidP="00141E7E">
            <w:pPr>
              <w:rPr>
                <w:sz w:val="20"/>
              </w:rPr>
            </w:pPr>
            <w:r w:rsidRPr="005E725F">
              <w:rPr>
                <w:sz w:val="20"/>
              </w:rPr>
              <w:t>€</w:t>
            </w:r>
          </w:p>
        </w:tc>
        <w:tc>
          <w:tcPr>
            <w:tcW w:w="1479" w:type="dxa"/>
            <w:tcBorders>
              <w:left w:val="nil"/>
            </w:tcBorders>
            <w:vAlign w:val="center"/>
          </w:tcPr>
          <w:p w:rsidR="00141E7E" w:rsidRPr="00141E7E" w:rsidRDefault="00141E7E" w:rsidP="00141E7E">
            <w:pPr>
              <w:jc w:val="right"/>
              <w:rPr>
                <w:sz w:val="20"/>
                <w:szCs w:val="20"/>
              </w:rPr>
            </w:pPr>
            <w:r w:rsidRPr="00141E7E">
              <w:rPr>
                <w:sz w:val="20"/>
                <w:szCs w:val="20"/>
              </w:rPr>
              <w:t>215,94</w:t>
            </w:r>
          </w:p>
        </w:tc>
        <w:tc>
          <w:tcPr>
            <w:tcW w:w="364" w:type="dxa"/>
            <w:tcBorders>
              <w:right w:val="nil"/>
            </w:tcBorders>
            <w:vAlign w:val="center"/>
          </w:tcPr>
          <w:p w:rsidR="00141E7E" w:rsidRPr="005E725F" w:rsidRDefault="00141E7E" w:rsidP="00141E7E">
            <w:pPr>
              <w:jc w:val="right"/>
              <w:rPr>
                <w:sz w:val="20"/>
              </w:rPr>
            </w:pPr>
            <w:r w:rsidRPr="005E725F">
              <w:rPr>
                <w:sz w:val="20"/>
              </w:rPr>
              <w:t>€</w:t>
            </w:r>
          </w:p>
        </w:tc>
        <w:tc>
          <w:tcPr>
            <w:tcW w:w="1310" w:type="dxa"/>
            <w:tcBorders>
              <w:left w:val="nil"/>
            </w:tcBorders>
            <w:vAlign w:val="center"/>
          </w:tcPr>
          <w:p w:rsidR="00141E7E" w:rsidRPr="00141E7E" w:rsidRDefault="00141E7E" w:rsidP="00141E7E">
            <w:pPr>
              <w:jc w:val="right"/>
              <w:rPr>
                <w:sz w:val="20"/>
                <w:szCs w:val="20"/>
              </w:rPr>
            </w:pPr>
            <w:r w:rsidRPr="00141E7E">
              <w:rPr>
                <w:sz w:val="20"/>
                <w:szCs w:val="20"/>
              </w:rPr>
              <w:t>431,87</w:t>
            </w:r>
          </w:p>
        </w:tc>
      </w:tr>
      <w:tr w:rsidR="00141E7E" w:rsidRPr="005E725F" w:rsidTr="00C53D59">
        <w:trPr>
          <w:trHeight w:val="340"/>
        </w:trPr>
        <w:tc>
          <w:tcPr>
            <w:tcW w:w="1439" w:type="dxa"/>
            <w:tcBorders>
              <w:right w:val="nil"/>
            </w:tcBorders>
            <w:vAlign w:val="center"/>
          </w:tcPr>
          <w:p w:rsidR="00141E7E" w:rsidRPr="005E725F" w:rsidRDefault="00141E7E" w:rsidP="00141E7E">
            <w:pPr>
              <w:jc w:val="right"/>
              <w:rPr>
                <w:sz w:val="20"/>
              </w:rPr>
            </w:pPr>
            <w:r>
              <w:rPr>
                <w:sz w:val="20"/>
              </w:rPr>
              <w:t>2</w:t>
            </w:r>
            <w:r w:rsidRPr="005E725F">
              <w:rPr>
                <w:sz w:val="20"/>
              </w:rPr>
              <w:t>00</w:t>
            </w:r>
          </w:p>
        </w:tc>
        <w:tc>
          <w:tcPr>
            <w:tcW w:w="683" w:type="dxa"/>
            <w:tcBorders>
              <w:left w:val="nil"/>
              <w:right w:val="nil"/>
            </w:tcBorders>
            <w:vAlign w:val="center"/>
          </w:tcPr>
          <w:p w:rsidR="00141E7E" w:rsidRPr="005E725F" w:rsidRDefault="00141E7E" w:rsidP="00141E7E">
            <w:pPr>
              <w:rPr>
                <w:sz w:val="20"/>
              </w:rPr>
            </w:pPr>
            <w:r w:rsidRPr="005E725F">
              <w:rPr>
                <w:sz w:val="20"/>
              </w:rPr>
              <w:t xml:space="preserve">&lt; </w:t>
            </w:r>
            <w:r>
              <w:rPr>
                <w:sz w:val="20"/>
              </w:rPr>
              <w:t>D</w:t>
            </w:r>
            <w:r w:rsidRPr="005E725F">
              <w:rPr>
                <w:sz w:val="20"/>
              </w:rPr>
              <w:t xml:space="preserve"> ≤</w:t>
            </w:r>
          </w:p>
        </w:tc>
        <w:tc>
          <w:tcPr>
            <w:tcW w:w="708" w:type="dxa"/>
            <w:tcBorders>
              <w:left w:val="nil"/>
              <w:right w:val="nil"/>
            </w:tcBorders>
            <w:vAlign w:val="center"/>
          </w:tcPr>
          <w:p w:rsidR="00141E7E" w:rsidRPr="005E725F" w:rsidRDefault="00141E7E" w:rsidP="00141E7E">
            <w:pPr>
              <w:jc w:val="right"/>
              <w:rPr>
                <w:sz w:val="20"/>
              </w:rPr>
            </w:pPr>
            <w:r>
              <w:rPr>
                <w:sz w:val="20"/>
              </w:rPr>
              <w:t>500</w:t>
            </w:r>
          </w:p>
        </w:tc>
        <w:tc>
          <w:tcPr>
            <w:tcW w:w="2694" w:type="dxa"/>
            <w:tcBorders>
              <w:left w:val="nil"/>
            </w:tcBorders>
            <w:vAlign w:val="center"/>
          </w:tcPr>
          <w:p w:rsidR="00141E7E" w:rsidRPr="005F0ECB" w:rsidRDefault="00141E7E" w:rsidP="00141E7E">
            <w:pPr>
              <w:rPr>
                <w:sz w:val="20"/>
                <w:szCs w:val="20"/>
              </w:rPr>
            </w:pPr>
            <w:r w:rsidRPr="005F0ECB">
              <w:rPr>
                <w:sz w:val="20"/>
                <w:szCs w:val="20"/>
              </w:rPr>
              <w:t>Nm³/h</w:t>
            </w:r>
          </w:p>
        </w:tc>
        <w:tc>
          <w:tcPr>
            <w:tcW w:w="425" w:type="dxa"/>
            <w:tcBorders>
              <w:right w:val="nil"/>
            </w:tcBorders>
            <w:vAlign w:val="center"/>
          </w:tcPr>
          <w:p w:rsidR="00141E7E" w:rsidRPr="005E725F" w:rsidRDefault="00141E7E" w:rsidP="00141E7E">
            <w:pPr>
              <w:rPr>
                <w:sz w:val="20"/>
              </w:rPr>
            </w:pPr>
            <w:r w:rsidRPr="005E725F">
              <w:rPr>
                <w:sz w:val="20"/>
              </w:rPr>
              <w:t>€</w:t>
            </w:r>
          </w:p>
        </w:tc>
        <w:tc>
          <w:tcPr>
            <w:tcW w:w="1479" w:type="dxa"/>
            <w:tcBorders>
              <w:left w:val="nil"/>
            </w:tcBorders>
            <w:vAlign w:val="center"/>
          </w:tcPr>
          <w:p w:rsidR="00141E7E" w:rsidRPr="00141E7E" w:rsidRDefault="00141E7E" w:rsidP="00141E7E">
            <w:pPr>
              <w:jc w:val="right"/>
              <w:rPr>
                <w:sz w:val="20"/>
                <w:szCs w:val="20"/>
              </w:rPr>
            </w:pPr>
            <w:r w:rsidRPr="00141E7E">
              <w:rPr>
                <w:sz w:val="20"/>
                <w:szCs w:val="20"/>
              </w:rPr>
              <w:t>431,87</w:t>
            </w:r>
          </w:p>
        </w:tc>
        <w:tc>
          <w:tcPr>
            <w:tcW w:w="364" w:type="dxa"/>
            <w:tcBorders>
              <w:right w:val="nil"/>
            </w:tcBorders>
            <w:vAlign w:val="center"/>
          </w:tcPr>
          <w:p w:rsidR="00141E7E" w:rsidRPr="005E725F" w:rsidRDefault="00141E7E" w:rsidP="00141E7E">
            <w:pPr>
              <w:jc w:val="right"/>
              <w:rPr>
                <w:sz w:val="20"/>
              </w:rPr>
            </w:pPr>
            <w:r w:rsidRPr="005E725F">
              <w:rPr>
                <w:sz w:val="20"/>
              </w:rPr>
              <w:t>€</w:t>
            </w:r>
          </w:p>
        </w:tc>
        <w:tc>
          <w:tcPr>
            <w:tcW w:w="1310" w:type="dxa"/>
            <w:tcBorders>
              <w:left w:val="nil"/>
            </w:tcBorders>
            <w:vAlign w:val="center"/>
          </w:tcPr>
          <w:p w:rsidR="00141E7E" w:rsidRPr="00141E7E" w:rsidRDefault="00141E7E" w:rsidP="00141E7E">
            <w:pPr>
              <w:jc w:val="right"/>
              <w:rPr>
                <w:sz w:val="20"/>
                <w:szCs w:val="20"/>
              </w:rPr>
            </w:pPr>
            <w:r w:rsidRPr="00141E7E">
              <w:rPr>
                <w:sz w:val="20"/>
                <w:szCs w:val="20"/>
              </w:rPr>
              <w:t>864,8</w:t>
            </w:r>
            <w:r w:rsidR="00C53D59">
              <w:rPr>
                <w:sz w:val="20"/>
                <w:szCs w:val="20"/>
              </w:rPr>
              <w:t>0</w:t>
            </w:r>
          </w:p>
        </w:tc>
      </w:tr>
      <w:tr w:rsidR="00141E7E" w:rsidRPr="005E725F" w:rsidTr="00C53D59">
        <w:trPr>
          <w:trHeight w:val="340"/>
        </w:trPr>
        <w:tc>
          <w:tcPr>
            <w:tcW w:w="1439" w:type="dxa"/>
            <w:tcBorders>
              <w:right w:val="nil"/>
            </w:tcBorders>
            <w:vAlign w:val="center"/>
          </w:tcPr>
          <w:p w:rsidR="00141E7E" w:rsidRPr="005E725F" w:rsidRDefault="00141E7E" w:rsidP="00141E7E">
            <w:pPr>
              <w:jc w:val="right"/>
              <w:rPr>
                <w:sz w:val="20"/>
              </w:rPr>
            </w:pPr>
            <w:r w:rsidRPr="005E725F">
              <w:rPr>
                <w:sz w:val="20"/>
              </w:rPr>
              <w:t>500</w:t>
            </w:r>
          </w:p>
        </w:tc>
        <w:tc>
          <w:tcPr>
            <w:tcW w:w="683" w:type="dxa"/>
            <w:tcBorders>
              <w:left w:val="nil"/>
              <w:right w:val="nil"/>
            </w:tcBorders>
            <w:vAlign w:val="center"/>
          </w:tcPr>
          <w:p w:rsidR="00141E7E" w:rsidRPr="005E725F" w:rsidRDefault="00141E7E" w:rsidP="00141E7E">
            <w:pPr>
              <w:rPr>
                <w:sz w:val="20"/>
              </w:rPr>
            </w:pPr>
            <w:r w:rsidRPr="005E725F">
              <w:rPr>
                <w:sz w:val="20"/>
              </w:rPr>
              <w:t xml:space="preserve">&lt; </w:t>
            </w:r>
            <w:r>
              <w:rPr>
                <w:sz w:val="20"/>
              </w:rPr>
              <w:t>D</w:t>
            </w:r>
          </w:p>
        </w:tc>
        <w:tc>
          <w:tcPr>
            <w:tcW w:w="708" w:type="dxa"/>
            <w:tcBorders>
              <w:left w:val="nil"/>
              <w:right w:val="nil"/>
            </w:tcBorders>
            <w:vAlign w:val="center"/>
          </w:tcPr>
          <w:p w:rsidR="00141E7E" w:rsidRPr="005E725F" w:rsidRDefault="00141E7E" w:rsidP="00141E7E">
            <w:pPr>
              <w:rPr>
                <w:sz w:val="20"/>
              </w:rPr>
            </w:pPr>
          </w:p>
        </w:tc>
        <w:tc>
          <w:tcPr>
            <w:tcW w:w="2694" w:type="dxa"/>
            <w:tcBorders>
              <w:left w:val="nil"/>
            </w:tcBorders>
            <w:vAlign w:val="center"/>
          </w:tcPr>
          <w:p w:rsidR="00141E7E" w:rsidRPr="005F0ECB" w:rsidRDefault="00141E7E" w:rsidP="00141E7E">
            <w:pPr>
              <w:rPr>
                <w:sz w:val="20"/>
                <w:szCs w:val="20"/>
              </w:rPr>
            </w:pPr>
            <w:r w:rsidRPr="005F0ECB">
              <w:rPr>
                <w:sz w:val="20"/>
                <w:szCs w:val="20"/>
              </w:rPr>
              <w:t>Nm³/h</w:t>
            </w:r>
          </w:p>
        </w:tc>
        <w:tc>
          <w:tcPr>
            <w:tcW w:w="425" w:type="dxa"/>
            <w:tcBorders>
              <w:right w:val="nil"/>
            </w:tcBorders>
            <w:vAlign w:val="center"/>
          </w:tcPr>
          <w:p w:rsidR="00141E7E" w:rsidRPr="005E725F" w:rsidRDefault="00141E7E" w:rsidP="00141E7E">
            <w:pPr>
              <w:rPr>
                <w:sz w:val="20"/>
              </w:rPr>
            </w:pPr>
            <w:r w:rsidRPr="005E725F">
              <w:rPr>
                <w:sz w:val="20"/>
              </w:rPr>
              <w:t>€</w:t>
            </w:r>
          </w:p>
        </w:tc>
        <w:tc>
          <w:tcPr>
            <w:tcW w:w="1479" w:type="dxa"/>
            <w:tcBorders>
              <w:left w:val="nil"/>
            </w:tcBorders>
            <w:vAlign w:val="center"/>
          </w:tcPr>
          <w:p w:rsidR="00141E7E" w:rsidRPr="00141E7E" w:rsidRDefault="00141E7E" w:rsidP="00141E7E">
            <w:pPr>
              <w:jc w:val="right"/>
              <w:rPr>
                <w:sz w:val="20"/>
                <w:szCs w:val="20"/>
              </w:rPr>
            </w:pPr>
            <w:r w:rsidRPr="00141E7E">
              <w:rPr>
                <w:sz w:val="20"/>
                <w:szCs w:val="20"/>
              </w:rPr>
              <w:t>864,8</w:t>
            </w:r>
            <w:r w:rsidR="00C53D59">
              <w:rPr>
                <w:sz w:val="20"/>
                <w:szCs w:val="20"/>
              </w:rPr>
              <w:t>0</w:t>
            </w:r>
          </w:p>
        </w:tc>
        <w:tc>
          <w:tcPr>
            <w:tcW w:w="364" w:type="dxa"/>
            <w:tcBorders>
              <w:right w:val="nil"/>
            </w:tcBorders>
            <w:vAlign w:val="center"/>
          </w:tcPr>
          <w:p w:rsidR="00141E7E" w:rsidRPr="005E725F" w:rsidRDefault="00141E7E" w:rsidP="00141E7E">
            <w:pPr>
              <w:jc w:val="right"/>
              <w:rPr>
                <w:sz w:val="20"/>
              </w:rPr>
            </w:pPr>
            <w:r w:rsidRPr="005E725F">
              <w:rPr>
                <w:sz w:val="20"/>
              </w:rPr>
              <w:t>€</w:t>
            </w:r>
          </w:p>
        </w:tc>
        <w:tc>
          <w:tcPr>
            <w:tcW w:w="1310" w:type="dxa"/>
            <w:tcBorders>
              <w:left w:val="nil"/>
            </w:tcBorders>
            <w:vAlign w:val="center"/>
          </w:tcPr>
          <w:p w:rsidR="00141E7E" w:rsidRPr="00141E7E" w:rsidRDefault="00141E7E" w:rsidP="00141E7E">
            <w:pPr>
              <w:jc w:val="right"/>
              <w:rPr>
                <w:sz w:val="20"/>
                <w:szCs w:val="20"/>
              </w:rPr>
            </w:pPr>
            <w:r w:rsidRPr="00141E7E">
              <w:rPr>
                <w:sz w:val="20"/>
                <w:szCs w:val="20"/>
              </w:rPr>
              <w:t>1</w:t>
            </w:r>
            <w:r w:rsidR="00504A1A">
              <w:rPr>
                <w:sz w:val="20"/>
                <w:szCs w:val="20"/>
              </w:rPr>
              <w:t>.</w:t>
            </w:r>
            <w:r w:rsidRPr="00141E7E">
              <w:rPr>
                <w:sz w:val="20"/>
                <w:szCs w:val="20"/>
              </w:rPr>
              <w:t>729,6</w:t>
            </w:r>
            <w:r w:rsidR="00C53D59">
              <w:rPr>
                <w:sz w:val="20"/>
                <w:szCs w:val="20"/>
              </w:rPr>
              <w:t>0</w:t>
            </w:r>
          </w:p>
        </w:tc>
      </w:tr>
      <w:tr w:rsidR="00ED547F" w:rsidRPr="007A7C00" w:rsidTr="005E10AE">
        <w:trPr>
          <w:trHeight w:val="567"/>
        </w:trPr>
        <w:tc>
          <w:tcPr>
            <w:tcW w:w="9102" w:type="dxa"/>
            <w:gridSpan w:val="8"/>
            <w:shd w:val="clear" w:color="auto" w:fill="D9E2F3" w:themeFill="accent5" w:themeFillTint="33"/>
            <w:vAlign w:val="center"/>
          </w:tcPr>
          <w:p w:rsidR="00ED547F" w:rsidRPr="0063274A" w:rsidRDefault="00ED547F" w:rsidP="0096111C">
            <w:pPr>
              <w:rPr>
                <w:b/>
                <w:sz w:val="28"/>
                <w:szCs w:val="28"/>
              </w:rPr>
            </w:pPr>
            <w:r w:rsidRPr="0063274A">
              <w:rPr>
                <w:b/>
                <w:sz w:val="28"/>
                <w:szCs w:val="28"/>
              </w:rPr>
              <w:t>Remarques</w:t>
            </w:r>
            <w:r w:rsidR="002623D4" w:rsidRPr="0063274A">
              <w:rPr>
                <w:b/>
                <w:sz w:val="28"/>
                <w:szCs w:val="28"/>
              </w:rPr>
              <w:t xml:space="preserve"> – </w:t>
            </w:r>
            <w:r w:rsidR="00251D50">
              <w:rPr>
                <w:b/>
                <w:sz w:val="28"/>
                <w:szCs w:val="28"/>
              </w:rPr>
              <w:t>E</w:t>
            </w:r>
            <w:r w:rsidR="0063274A" w:rsidRPr="0063274A">
              <w:rPr>
                <w:b/>
                <w:sz w:val="28"/>
                <w:szCs w:val="28"/>
              </w:rPr>
              <w:t>tudes</w:t>
            </w:r>
          </w:p>
        </w:tc>
      </w:tr>
      <w:tr w:rsidR="000007EA" w:rsidRPr="005E725F" w:rsidTr="005F0ECB">
        <w:trPr>
          <w:trHeight w:val="397"/>
        </w:trPr>
        <w:tc>
          <w:tcPr>
            <w:tcW w:w="9102" w:type="dxa"/>
            <w:gridSpan w:val="8"/>
            <w:shd w:val="clear" w:color="auto" w:fill="auto"/>
            <w:vAlign w:val="center"/>
          </w:tcPr>
          <w:p w:rsidR="000007EA" w:rsidRPr="005E725F" w:rsidRDefault="00960FCB" w:rsidP="0096111C">
            <w:pPr>
              <w:rPr>
                <w:b/>
                <w:sz w:val="20"/>
              </w:rPr>
            </w:pPr>
            <w:r w:rsidRPr="005E725F">
              <w:rPr>
                <w:b/>
                <w:sz w:val="20"/>
              </w:rPr>
              <w:t>Tous les prix sont indiqués hors TVA</w:t>
            </w:r>
          </w:p>
        </w:tc>
      </w:tr>
      <w:tr w:rsidR="0096111C" w:rsidRPr="005E725F" w:rsidTr="005E10AE">
        <w:trPr>
          <w:trHeight w:val="397"/>
        </w:trPr>
        <w:tc>
          <w:tcPr>
            <w:tcW w:w="9102" w:type="dxa"/>
            <w:gridSpan w:val="8"/>
            <w:shd w:val="clear" w:color="auto" w:fill="D9E2F3" w:themeFill="accent5" w:themeFillTint="33"/>
            <w:vAlign w:val="center"/>
          </w:tcPr>
          <w:p w:rsidR="0096111C" w:rsidRPr="005E725F" w:rsidRDefault="0096111C" w:rsidP="0096111C">
            <w:pPr>
              <w:rPr>
                <w:b/>
                <w:sz w:val="28"/>
              </w:rPr>
            </w:pPr>
            <w:r w:rsidRPr="005E725F">
              <w:rPr>
                <w:b/>
                <w:sz w:val="28"/>
              </w:rPr>
              <w:t>Etude d’orientation</w:t>
            </w:r>
          </w:p>
        </w:tc>
      </w:tr>
      <w:tr w:rsidR="00ED547F" w:rsidRPr="005E725F" w:rsidTr="005F0ECB">
        <w:tc>
          <w:tcPr>
            <w:tcW w:w="9102" w:type="dxa"/>
            <w:gridSpan w:val="8"/>
          </w:tcPr>
          <w:p w:rsidR="002623D4" w:rsidRPr="005E725F" w:rsidRDefault="002623D4" w:rsidP="000D1269">
            <w:pPr>
              <w:jc w:val="both"/>
              <w:rPr>
                <w:sz w:val="20"/>
              </w:rPr>
            </w:pPr>
          </w:p>
          <w:p w:rsidR="00ED547F" w:rsidRPr="005E725F" w:rsidRDefault="00ED547F" w:rsidP="000D1269">
            <w:pPr>
              <w:jc w:val="both"/>
              <w:rPr>
                <w:sz w:val="20"/>
              </w:rPr>
            </w:pPr>
            <w:r w:rsidRPr="005E725F">
              <w:rPr>
                <w:sz w:val="20"/>
              </w:rPr>
              <w:t>L’étude d’orientation est applicable sur demande :</w:t>
            </w:r>
          </w:p>
          <w:p w:rsidR="00ED547F" w:rsidRPr="005E725F" w:rsidRDefault="00ED547F" w:rsidP="000D1269">
            <w:pPr>
              <w:pStyle w:val="Paragraphedeliste"/>
              <w:numPr>
                <w:ilvl w:val="0"/>
                <w:numId w:val="6"/>
              </w:numPr>
              <w:jc w:val="both"/>
              <w:rPr>
                <w:sz w:val="20"/>
              </w:rPr>
            </w:pPr>
            <w:r w:rsidRPr="005E725F">
              <w:rPr>
                <w:sz w:val="20"/>
              </w:rPr>
              <w:t>pour tout projet de nouveau raccordement (prélèvement et/ou production avec ou sans injection) ;</w:t>
            </w:r>
          </w:p>
          <w:p w:rsidR="00ED547F" w:rsidRPr="005E725F" w:rsidRDefault="00ED547F" w:rsidP="000D1269">
            <w:pPr>
              <w:pStyle w:val="Paragraphedeliste"/>
              <w:numPr>
                <w:ilvl w:val="0"/>
                <w:numId w:val="6"/>
              </w:numPr>
              <w:jc w:val="both"/>
              <w:rPr>
                <w:sz w:val="20"/>
              </w:rPr>
            </w:pPr>
            <w:r w:rsidRPr="005E725F">
              <w:rPr>
                <w:sz w:val="20"/>
              </w:rPr>
              <w:t>pour tout projet de modification d’un raccordement existant.</w:t>
            </w:r>
          </w:p>
          <w:p w:rsidR="00ED547F" w:rsidRPr="005E725F" w:rsidRDefault="00ED547F" w:rsidP="000D1269">
            <w:pPr>
              <w:jc w:val="both"/>
              <w:rPr>
                <w:sz w:val="20"/>
              </w:rPr>
            </w:pPr>
            <w:r w:rsidRPr="005E725F">
              <w:rPr>
                <w:sz w:val="20"/>
              </w:rPr>
              <w:t>L’étude d’orientation permet d’informer le demandeur selon le cas :</w:t>
            </w:r>
          </w:p>
          <w:p w:rsidR="00ED547F" w:rsidRPr="005E725F" w:rsidRDefault="00ED547F" w:rsidP="000D1269">
            <w:pPr>
              <w:pStyle w:val="Paragraphedeliste"/>
              <w:numPr>
                <w:ilvl w:val="0"/>
                <w:numId w:val="6"/>
              </w:numPr>
              <w:jc w:val="both"/>
              <w:rPr>
                <w:sz w:val="20"/>
              </w:rPr>
            </w:pPr>
            <w:r w:rsidRPr="005E725F">
              <w:rPr>
                <w:sz w:val="20"/>
              </w:rPr>
              <w:t>de la faisabilité de la demande ;</w:t>
            </w:r>
          </w:p>
          <w:p w:rsidR="00ED547F" w:rsidRPr="005E725F" w:rsidRDefault="00ED547F" w:rsidP="000D1269">
            <w:pPr>
              <w:pStyle w:val="Paragraphedeliste"/>
              <w:numPr>
                <w:ilvl w:val="0"/>
                <w:numId w:val="6"/>
              </w:numPr>
              <w:jc w:val="both"/>
              <w:rPr>
                <w:sz w:val="20"/>
              </w:rPr>
            </w:pPr>
            <w:r w:rsidRPr="005E725F">
              <w:rPr>
                <w:sz w:val="20"/>
              </w:rPr>
              <w:t>de l’estimation du coût des travaux ;</w:t>
            </w:r>
          </w:p>
          <w:p w:rsidR="00ED547F" w:rsidRPr="005E725F" w:rsidRDefault="00ED547F" w:rsidP="000D1269">
            <w:pPr>
              <w:pStyle w:val="Paragraphedeliste"/>
              <w:numPr>
                <w:ilvl w:val="0"/>
                <w:numId w:val="6"/>
              </w:numPr>
              <w:jc w:val="both"/>
              <w:rPr>
                <w:sz w:val="20"/>
              </w:rPr>
            </w:pPr>
            <w:r w:rsidRPr="005E725F">
              <w:rPr>
                <w:sz w:val="20"/>
              </w:rPr>
              <w:t>de l’estimation du délai de réalisation ;</w:t>
            </w:r>
          </w:p>
          <w:p w:rsidR="00ED547F" w:rsidRPr="005E725F" w:rsidRDefault="00ED547F" w:rsidP="000D1269">
            <w:pPr>
              <w:pStyle w:val="Paragraphedeliste"/>
              <w:numPr>
                <w:ilvl w:val="0"/>
                <w:numId w:val="6"/>
              </w:numPr>
              <w:jc w:val="both"/>
              <w:rPr>
                <w:sz w:val="20"/>
              </w:rPr>
            </w:pPr>
            <w:r w:rsidRPr="005E725F">
              <w:rPr>
                <w:sz w:val="20"/>
              </w:rPr>
              <w:t>du schéma de raccordement ;</w:t>
            </w:r>
          </w:p>
          <w:p w:rsidR="00ED547F" w:rsidRPr="005E725F" w:rsidRDefault="00ED547F" w:rsidP="000D1269">
            <w:pPr>
              <w:pStyle w:val="Paragraphedeliste"/>
              <w:numPr>
                <w:ilvl w:val="0"/>
                <w:numId w:val="6"/>
              </w:numPr>
              <w:jc w:val="both"/>
              <w:rPr>
                <w:sz w:val="20"/>
              </w:rPr>
            </w:pPr>
            <w:r w:rsidRPr="005E725F">
              <w:rPr>
                <w:sz w:val="20"/>
              </w:rPr>
              <w:t>des prescriptions techniques.</w:t>
            </w:r>
          </w:p>
          <w:p w:rsidR="00ED547F" w:rsidRPr="005E725F" w:rsidRDefault="00ED547F" w:rsidP="000D1269">
            <w:pPr>
              <w:jc w:val="both"/>
              <w:rPr>
                <w:sz w:val="20"/>
              </w:rPr>
            </w:pPr>
            <w:r w:rsidRPr="005E725F">
              <w:rPr>
                <w:sz w:val="20"/>
              </w:rPr>
              <w:t>Ces informations permettront au demandeur d’évaluer la rentabilité de son projet.</w:t>
            </w:r>
          </w:p>
          <w:p w:rsidR="00ED547F" w:rsidRPr="005E725F" w:rsidRDefault="00ED547F" w:rsidP="000D1269">
            <w:pPr>
              <w:jc w:val="both"/>
              <w:rPr>
                <w:sz w:val="20"/>
              </w:rPr>
            </w:pPr>
            <w:r w:rsidRPr="005E725F">
              <w:rPr>
                <w:sz w:val="20"/>
              </w:rPr>
              <w:t>L’étude d’orientation est facultative et payante.</w:t>
            </w:r>
          </w:p>
          <w:p w:rsidR="00ED547F" w:rsidRPr="005E725F" w:rsidRDefault="00ED547F" w:rsidP="000D1269">
            <w:pPr>
              <w:jc w:val="both"/>
              <w:rPr>
                <w:sz w:val="20"/>
              </w:rPr>
            </w:pPr>
            <w:r w:rsidRPr="005E725F">
              <w:rPr>
                <w:sz w:val="20"/>
              </w:rPr>
              <w:t>Le coût de l’étude d’orientation est variable selon l</w:t>
            </w:r>
            <w:r w:rsidR="00D226D5">
              <w:rPr>
                <w:sz w:val="20"/>
              </w:rPr>
              <w:t>e débit</w:t>
            </w:r>
            <w:r w:rsidRPr="005E725F">
              <w:rPr>
                <w:sz w:val="20"/>
              </w:rPr>
              <w:t xml:space="preserve"> final de prélèvement et/ou de production avec ou sans injection demandée pour un nouveau raccordement ou pour un raccordement existant.</w:t>
            </w:r>
          </w:p>
          <w:p w:rsidR="00ED547F" w:rsidRPr="005E725F" w:rsidRDefault="00ED547F" w:rsidP="000D1269">
            <w:pPr>
              <w:jc w:val="both"/>
              <w:rPr>
                <w:sz w:val="20"/>
              </w:rPr>
            </w:pPr>
            <w:r w:rsidRPr="005E725F">
              <w:rPr>
                <w:sz w:val="20"/>
              </w:rPr>
              <w:t>Le paiement des frais d’étude conditionne le lancement de l’étude d'orientation.</w:t>
            </w:r>
          </w:p>
          <w:p w:rsidR="00ED547F" w:rsidRPr="005E725F" w:rsidRDefault="00ED547F" w:rsidP="000D1269">
            <w:pPr>
              <w:jc w:val="both"/>
              <w:rPr>
                <w:sz w:val="20"/>
              </w:rPr>
            </w:pPr>
            <w:r w:rsidRPr="005E725F">
              <w:rPr>
                <w:sz w:val="20"/>
              </w:rPr>
              <w:t xml:space="preserve">Le résultat de l’étude est communiqué par écrit au demandeur. Il n’engage nullement ni </w:t>
            </w:r>
            <w:r w:rsidR="002623D4" w:rsidRPr="005E725F">
              <w:rPr>
                <w:sz w:val="20"/>
              </w:rPr>
              <w:t>RESA</w:t>
            </w:r>
            <w:r w:rsidRPr="005E725F">
              <w:rPr>
                <w:sz w:val="20"/>
              </w:rPr>
              <w:t xml:space="preserve">, ni le demandeur. </w:t>
            </w:r>
          </w:p>
          <w:p w:rsidR="00ED547F" w:rsidRPr="005E725F" w:rsidRDefault="00ED547F" w:rsidP="000D1269">
            <w:pPr>
              <w:jc w:val="both"/>
              <w:rPr>
                <w:sz w:val="20"/>
              </w:rPr>
            </w:pPr>
            <w:r w:rsidRPr="005E725F">
              <w:rPr>
                <w:sz w:val="20"/>
              </w:rPr>
              <w:t xml:space="preserve">Sur base de cette étude d’orientation, le demandeur pourra, s'il souhaite poursuivre son projet, introduire une demande d'étude de détail. Cette dernière est obligatoire et payante dans la majorité des cas. </w:t>
            </w:r>
            <w:r w:rsidR="008C227A" w:rsidRPr="005E725F">
              <w:rPr>
                <w:sz w:val="20"/>
              </w:rPr>
              <w:t>Le montant payé par le demandeur pour l’étude</w:t>
            </w:r>
            <w:r w:rsidRPr="005E725F">
              <w:rPr>
                <w:sz w:val="20"/>
              </w:rPr>
              <w:t xml:space="preserve"> d’orientation sera déduit du coût de l’étude détaillée pour autant que la demande d’étude détaillée concerne un projet identique à celui étudié lors de l’étude d’orientation.</w:t>
            </w:r>
          </w:p>
          <w:p w:rsidR="00ED547F" w:rsidRPr="005E725F" w:rsidRDefault="00ED547F" w:rsidP="000D1269">
            <w:pPr>
              <w:jc w:val="both"/>
              <w:rPr>
                <w:sz w:val="20"/>
              </w:rPr>
            </w:pPr>
          </w:p>
          <w:p w:rsidR="00ED547F" w:rsidRPr="005E725F" w:rsidRDefault="00ED547F" w:rsidP="000D1269">
            <w:pPr>
              <w:jc w:val="both"/>
              <w:rPr>
                <w:sz w:val="20"/>
                <w:u w:val="single"/>
              </w:rPr>
            </w:pPr>
            <w:r w:rsidRPr="005E725F">
              <w:rPr>
                <w:sz w:val="20"/>
                <w:u w:val="single"/>
              </w:rPr>
              <w:t>Règles particulières d’application :</w:t>
            </w:r>
          </w:p>
          <w:p w:rsidR="00ED547F" w:rsidRPr="005E725F" w:rsidRDefault="00ED547F" w:rsidP="000D1269">
            <w:pPr>
              <w:pStyle w:val="Paragraphedeliste"/>
              <w:numPr>
                <w:ilvl w:val="0"/>
                <w:numId w:val="6"/>
              </w:numPr>
              <w:jc w:val="both"/>
              <w:rPr>
                <w:sz w:val="20"/>
              </w:rPr>
            </w:pPr>
            <w:r w:rsidRPr="005E725F">
              <w:rPr>
                <w:sz w:val="20"/>
              </w:rPr>
              <w:t>Si la même demande est introduite plusieurs fois (ex. : plusieurs fournisseurs ou installateurs, bureaux d’études), le montant de l’étude sera facturé autant d</w:t>
            </w:r>
            <w:r w:rsidR="00FE760E">
              <w:rPr>
                <w:sz w:val="20"/>
              </w:rPr>
              <w:t>e fois qu’il y a de demandeurs.</w:t>
            </w:r>
          </w:p>
          <w:p w:rsidR="00ED547F" w:rsidRPr="005E725F" w:rsidRDefault="00ED547F" w:rsidP="000D1269">
            <w:pPr>
              <w:pStyle w:val="Paragraphedeliste"/>
              <w:numPr>
                <w:ilvl w:val="0"/>
                <w:numId w:val="6"/>
              </w:numPr>
              <w:jc w:val="both"/>
              <w:rPr>
                <w:sz w:val="20"/>
              </w:rPr>
            </w:pPr>
            <w:r w:rsidRPr="005E725F">
              <w:rPr>
                <w:sz w:val="20"/>
              </w:rPr>
              <w:t>En cas de demandes de raccordement pouvant mettre en œuvre sur un même site plusieurs raccordements de puissance</w:t>
            </w:r>
            <w:r w:rsidR="00C53D59">
              <w:rPr>
                <w:sz w:val="20"/>
              </w:rPr>
              <w:t>s</w:t>
            </w:r>
            <w:r w:rsidRPr="005E725F">
              <w:rPr>
                <w:sz w:val="20"/>
              </w:rPr>
              <w:t xml:space="preserve"> et de types différents (ex : complexe commercial), les frais d’é</w:t>
            </w:r>
            <w:r w:rsidR="00C53D59">
              <w:rPr>
                <w:sz w:val="20"/>
              </w:rPr>
              <w:t>tude sont calculés  sur base de</w:t>
            </w:r>
            <w:r w:rsidRPr="005E725F">
              <w:rPr>
                <w:sz w:val="20"/>
              </w:rPr>
              <w:t xml:space="preserve"> la puissance finale de prélèvement et/ou de production avec ou sans injection  demandée par le client.</w:t>
            </w:r>
          </w:p>
          <w:p w:rsidR="00ED547F" w:rsidRPr="005E725F" w:rsidRDefault="00ED547F" w:rsidP="000D1269">
            <w:pPr>
              <w:jc w:val="both"/>
              <w:rPr>
                <w:sz w:val="20"/>
              </w:rPr>
            </w:pPr>
            <w:r w:rsidRPr="005E725F">
              <w:rPr>
                <w:sz w:val="20"/>
              </w:rPr>
              <w:lastRenderedPageBreak/>
              <w:t>En cas de demande simultanée pour une puissance de prélèvement et une puissance de production, le coût des frais d'étude à appliquer correspond au coût le plus élevé entre le prélèvement et la production avec ou sans injection.</w:t>
            </w:r>
          </w:p>
          <w:p w:rsidR="002623D4" w:rsidRPr="005E725F" w:rsidRDefault="002623D4" w:rsidP="000D1269">
            <w:pPr>
              <w:jc w:val="both"/>
              <w:rPr>
                <w:sz w:val="20"/>
              </w:rPr>
            </w:pPr>
          </w:p>
        </w:tc>
      </w:tr>
      <w:tr w:rsidR="00ED547F" w:rsidRPr="005E725F" w:rsidTr="005E10AE">
        <w:trPr>
          <w:trHeight w:val="567"/>
        </w:trPr>
        <w:tc>
          <w:tcPr>
            <w:tcW w:w="9102" w:type="dxa"/>
            <w:gridSpan w:val="8"/>
            <w:shd w:val="clear" w:color="auto" w:fill="D9E2F3" w:themeFill="accent5" w:themeFillTint="33"/>
            <w:vAlign w:val="center"/>
          </w:tcPr>
          <w:p w:rsidR="00ED547F" w:rsidRPr="005E725F" w:rsidRDefault="00ED547F" w:rsidP="000D1269">
            <w:pPr>
              <w:jc w:val="both"/>
              <w:rPr>
                <w:b/>
                <w:sz w:val="28"/>
              </w:rPr>
            </w:pPr>
            <w:r w:rsidRPr="005E725F">
              <w:rPr>
                <w:b/>
                <w:sz w:val="28"/>
              </w:rPr>
              <w:lastRenderedPageBreak/>
              <w:t>Etude de détail</w:t>
            </w:r>
          </w:p>
        </w:tc>
      </w:tr>
      <w:tr w:rsidR="00ED547F" w:rsidRPr="005E725F" w:rsidTr="005F0ECB">
        <w:tc>
          <w:tcPr>
            <w:tcW w:w="9102" w:type="dxa"/>
            <w:gridSpan w:val="8"/>
          </w:tcPr>
          <w:p w:rsidR="002623D4" w:rsidRPr="005E725F" w:rsidRDefault="002623D4" w:rsidP="000D1269">
            <w:pPr>
              <w:jc w:val="both"/>
              <w:rPr>
                <w:sz w:val="20"/>
              </w:rPr>
            </w:pPr>
          </w:p>
          <w:p w:rsidR="00ED547F" w:rsidRPr="005E725F" w:rsidRDefault="00ED547F" w:rsidP="000D1269">
            <w:pPr>
              <w:jc w:val="both"/>
              <w:rPr>
                <w:sz w:val="20"/>
              </w:rPr>
            </w:pPr>
            <w:r w:rsidRPr="005E725F">
              <w:rPr>
                <w:sz w:val="20"/>
              </w:rPr>
              <w:t>L’étude de détail est obligatoire et payante pour les cas suivants :</w:t>
            </w:r>
          </w:p>
          <w:p w:rsidR="00ED547F" w:rsidRPr="005E725F" w:rsidRDefault="00ED547F" w:rsidP="000D1269">
            <w:pPr>
              <w:pStyle w:val="Paragraphedeliste"/>
              <w:numPr>
                <w:ilvl w:val="0"/>
                <w:numId w:val="6"/>
              </w:numPr>
              <w:jc w:val="both"/>
              <w:rPr>
                <w:sz w:val="20"/>
              </w:rPr>
            </w:pPr>
            <w:r w:rsidRPr="005E725F">
              <w:rPr>
                <w:sz w:val="20"/>
              </w:rPr>
              <w:t xml:space="preserve">Lors d’une demande d’un nouveau raccordement </w:t>
            </w:r>
            <w:r w:rsidR="00935851">
              <w:rPr>
                <w:sz w:val="20"/>
              </w:rPr>
              <w:t xml:space="preserve">ou </w:t>
            </w:r>
            <w:r w:rsidR="00935851" w:rsidRPr="005E725F">
              <w:rPr>
                <w:sz w:val="20"/>
              </w:rPr>
              <w:t xml:space="preserve">d’une demande de modification d’un raccordement existant </w:t>
            </w:r>
            <w:r w:rsidRPr="005E725F">
              <w:rPr>
                <w:sz w:val="20"/>
              </w:rPr>
              <w:t>d’un bâtiment, d’un équipement technique ou assimilé</w:t>
            </w:r>
          </w:p>
          <w:p w:rsidR="00ED547F" w:rsidRPr="005E725F" w:rsidRDefault="00ED547F" w:rsidP="000D1269">
            <w:pPr>
              <w:pStyle w:val="Paragraphedeliste"/>
              <w:numPr>
                <w:ilvl w:val="0"/>
                <w:numId w:val="8"/>
              </w:numPr>
              <w:jc w:val="both"/>
              <w:rPr>
                <w:sz w:val="20"/>
              </w:rPr>
            </w:pPr>
            <w:r w:rsidRPr="005E725F">
              <w:rPr>
                <w:sz w:val="20"/>
              </w:rPr>
              <w:t>Nécessitant un</w:t>
            </w:r>
            <w:r w:rsidR="005F0ECB">
              <w:rPr>
                <w:sz w:val="20"/>
              </w:rPr>
              <w:t xml:space="preserve"> débit </w:t>
            </w:r>
            <w:r w:rsidRPr="005E725F">
              <w:rPr>
                <w:sz w:val="20"/>
              </w:rPr>
              <w:t xml:space="preserve">total contractuel en prélèvement &gt; </w:t>
            </w:r>
            <w:r w:rsidR="005F0ECB">
              <w:rPr>
                <w:sz w:val="20"/>
              </w:rPr>
              <w:t>16 Nm³</w:t>
            </w:r>
            <w:r w:rsidR="00935851">
              <w:rPr>
                <w:sz w:val="20"/>
              </w:rPr>
              <w:t>/h</w:t>
            </w:r>
            <w:r w:rsidR="005F0ECB">
              <w:rPr>
                <w:sz w:val="20"/>
              </w:rPr>
              <w:t xml:space="preserve"> o</w:t>
            </w:r>
            <w:r w:rsidRPr="005E725F">
              <w:rPr>
                <w:sz w:val="20"/>
              </w:rPr>
              <w:t>u</w:t>
            </w:r>
          </w:p>
          <w:p w:rsidR="00ED547F" w:rsidRPr="005E725F" w:rsidRDefault="00ED547F" w:rsidP="000D1269">
            <w:pPr>
              <w:pStyle w:val="Paragraphedeliste"/>
              <w:numPr>
                <w:ilvl w:val="0"/>
                <w:numId w:val="8"/>
              </w:numPr>
              <w:jc w:val="both"/>
              <w:rPr>
                <w:sz w:val="20"/>
              </w:rPr>
            </w:pPr>
            <w:r w:rsidRPr="005E725F">
              <w:rPr>
                <w:sz w:val="20"/>
              </w:rPr>
              <w:t>Equipé d’une production avec injection sur le réseau.</w:t>
            </w:r>
          </w:p>
          <w:p w:rsidR="00ED547F" w:rsidRPr="005E725F" w:rsidRDefault="00ED547F" w:rsidP="000D1269">
            <w:pPr>
              <w:jc w:val="both"/>
              <w:rPr>
                <w:sz w:val="20"/>
              </w:rPr>
            </w:pPr>
          </w:p>
          <w:p w:rsidR="00ED547F" w:rsidRPr="005E725F" w:rsidRDefault="00ED547F" w:rsidP="000D1269">
            <w:pPr>
              <w:jc w:val="both"/>
              <w:rPr>
                <w:sz w:val="20"/>
              </w:rPr>
            </w:pPr>
            <w:r w:rsidRPr="005E725F">
              <w:rPr>
                <w:sz w:val="20"/>
              </w:rPr>
              <w:t>L’étude de détail permet d’informer le demandeur :</w:t>
            </w:r>
          </w:p>
          <w:p w:rsidR="00ED547F" w:rsidRPr="005E725F" w:rsidRDefault="00ED547F" w:rsidP="000D1269">
            <w:pPr>
              <w:pStyle w:val="Paragraphedeliste"/>
              <w:numPr>
                <w:ilvl w:val="0"/>
                <w:numId w:val="4"/>
              </w:numPr>
              <w:jc w:val="both"/>
              <w:rPr>
                <w:sz w:val="20"/>
              </w:rPr>
            </w:pPr>
            <w:r w:rsidRPr="005E725F">
              <w:rPr>
                <w:sz w:val="20"/>
              </w:rPr>
              <w:t>du coût des travaux ;</w:t>
            </w:r>
          </w:p>
          <w:p w:rsidR="00ED547F" w:rsidRPr="005E725F" w:rsidRDefault="00ED547F" w:rsidP="000D1269">
            <w:pPr>
              <w:pStyle w:val="Paragraphedeliste"/>
              <w:numPr>
                <w:ilvl w:val="0"/>
                <w:numId w:val="4"/>
              </w:numPr>
              <w:jc w:val="both"/>
              <w:rPr>
                <w:sz w:val="20"/>
              </w:rPr>
            </w:pPr>
            <w:r w:rsidRPr="005E725F">
              <w:rPr>
                <w:sz w:val="20"/>
              </w:rPr>
              <w:t>du délai de réalisation ;</w:t>
            </w:r>
          </w:p>
          <w:p w:rsidR="00ED547F" w:rsidRPr="005E725F" w:rsidRDefault="00ED547F" w:rsidP="000D1269">
            <w:pPr>
              <w:pStyle w:val="Paragraphedeliste"/>
              <w:numPr>
                <w:ilvl w:val="0"/>
                <w:numId w:val="4"/>
              </w:numPr>
              <w:jc w:val="both"/>
              <w:rPr>
                <w:sz w:val="20"/>
              </w:rPr>
            </w:pPr>
            <w:r w:rsidRPr="005E725F">
              <w:rPr>
                <w:sz w:val="20"/>
              </w:rPr>
              <w:t>des conditions de l’offre de prix établie (validité ....,) ;</w:t>
            </w:r>
          </w:p>
          <w:p w:rsidR="00ED547F" w:rsidRPr="005E725F" w:rsidRDefault="00ED547F" w:rsidP="000D1269">
            <w:pPr>
              <w:pStyle w:val="Paragraphedeliste"/>
              <w:numPr>
                <w:ilvl w:val="0"/>
                <w:numId w:val="4"/>
              </w:numPr>
              <w:jc w:val="both"/>
              <w:rPr>
                <w:sz w:val="20"/>
              </w:rPr>
            </w:pPr>
            <w:r w:rsidRPr="005E725F">
              <w:rPr>
                <w:sz w:val="20"/>
              </w:rPr>
              <w:t>des prescriptions techniques et administratives ;</w:t>
            </w:r>
          </w:p>
          <w:p w:rsidR="00ED547F" w:rsidRPr="005E725F" w:rsidRDefault="00ED547F" w:rsidP="000D1269">
            <w:pPr>
              <w:pStyle w:val="Paragraphedeliste"/>
              <w:numPr>
                <w:ilvl w:val="0"/>
                <w:numId w:val="4"/>
              </w:numPr>
              <w:jc w:val="both"/>
              <w:rPr>
                <w:sz w:val="20"/>
              </w:rPr>
            </w:pPr>
            <w:r w:rsidRPr="005E725F">
              <w:rPr>
                <w:sz w:val="20"/>
              </w:rPr>
              <w:t>des conditions du contrat de raccordement ;</w:t>
            </w:r>
          </w:p>
          <w:p w:rsidR="00ED547F" w:rsidRPr="005E725F" w:rsidRDefault="00ED547F" w:rsidP="000D1269">
            <w:pPr>
              <w:pStyle w:val="Paragraphedeliste"/>
              <w:numPr>
                <w:ilvl w:val="0"/>
                <w:numId w:val="4"/>
              </w:numPr>
              <w:jc w:val="both"/>
              <w:rPr>
                <w:sz w:val="20"/>
              </w:rPr>
            </w:pPr>
            <w:r w:rsidRPr="005E725F">
              <w:rPr>
                <w:sz w:val="20"/>
              </w:rPr>
              <w:t>du schéma de raccordement.</w:t>
            </w:r>
          </w:p>
          <w:p w:rsidR="00E46C0E" w:rsidRPr="005E725F" w:rsidRDefault="00E46C0E" w:rsidP="00E46C0E">
            <w:pPr>
              <w:pStyle w:val="Paragraphedeliste"/>
              <w:jc w:val="both"/>
              <w:rPr>
                <w:sz w:val="20"/>
              </w:rPr>
            </w:pPr>
          </w:p>
          <w:p w:rsidR="00ED547F" w:rsidRPr="005E725F" w:rsidRDefault="00ED547F" w:rsidP="000D1269">
            <w:pPr>
              <w:jc w:val="both"/>
              <w:rPr>
                <w:sz w:val="20"/>
              </w:rPr>
            </w:pPr>
            <w:r w:rsidRPr="005E725F">
              <w:rPr>
                <w:sz w:val="20"/>
              </w:rPr>
              <w:t>Le coût de l’étude de détail est variable selon la puissance de prélèvement et/ou de production (avec ou sans injection) demandée pour un nouveau raccordement ou pour un raccordement existant.</w:t>
            </w:r>
          </w:p>
          <w:p w:rsidR="00ED547F" w:rsidRPr="005E725F" w:rsidRDefault="00ED547F" w:rsidP="000D1269">
            <w:pPr>
              <w:jc w:val="both"/>
              <w:rPr>
                <w:sz w:val="20"/>
              </w:rPr>
            </w:pPr>
            <w:r w:rsidRPr="005E725F">
              <w:rPr>
                <w:sz w:val="20"/>
              </w:rPr>
              <w:t>Le paiement des frais d’étude conditionne le lancement de l’étude de détails.</w:t>
            </w:r>
          </w:p>
          <w:p w:rsidR="00ED547F" w:rsidRPr="005E725F" w:rsidRDefault="00C53D59" w:rsidP="000D1269">
            <w:pPr>
              <w:jc w:val="both"/>
              <w:rPr>
                <w:sz w:val="20"/>
              </w:rPr>
            </w:pPr>
            <w:r>
              <w:rPr>
                <w:sz w:val="20"/>
              </w:rPr>
              <w:t>Les frais d’étude de détail</w:t>
            </w:r>
            <w:r w:rsidR="00ED547F" w:rsidRPr="005E725F">
              <w:rPr>
                <w:sz w:val="20"/>
              </w:rPr>
              <w:t xml:space="preserve"> sont toujours dus</w:t>
            </w:r>
            <w:r>
              <w:rPr>
                <w:sz w:val="20"/>
              </w:rPr>
              <w:t>,</w:t>
            </w:r>
            <w:r w:rsidR="00ED547F" w:rsidRPr="005E725F">
              <w:rPr>
                <w:sz w:val="20"/>
              </w:rPr>
              <w:t xml:space="preserve"> que les travaux soient réalisés ou non.</w:t>
            </w:r>
          </w:p>
          <w:p w:rsidR="00ED547F" w:rsidRPr="005E725F" w:rsidRDefault="00ED547F" w:rsidP="000D1269">
            <w:pPr>
              <w:jc w:val="both"/>
              <w:rPr>
                <w:sz w:val="20"/>
              </w:rPr>
            </w:pPr>
          </w:p>
          <w:p w:rsidR="00ED547F" w:rsidRPr="005E725F" w:rsidRDefault="00ED547F" w:rsidP="000D1269">
            <w:pPr>
              <w:jc w:val="both"/>
              <w:rPr>
                <w:sz w:val="20"/>
              </w:rPr>
            </w:pPr>
            <w:r w:rsidRPr="005E725F">
              <w:rPr>
                <w:sz w:val="20"/>
              </w:rPr>
              <w:t>Règles particulières d’application :</w:t>
            </w:r>
          </w:p>
          <w:p w:rsidR="00E46C0E" w:rsidRPr="005E725F" w:rsidRDefault="00E46C0E" w:rsidP="000D1269">
            <w:pPr>
              <w:jc w:val="both"/>
              <w:rPr>
                <w:sz w:val="20"/>
              </w:rPr>
            </w:pPr>
          </w:p>
          <w:p w:rsidR="00ED547F" w:rsidRPr="005E725F" w:rsidRDefault="00ED547F" w:rsidP="000D1269">
            <w:pPr>
              <w:pStyle w:val="Paragraphedeliste"/>
              <w:numPr>
                <w:ilvl w:val="0"/>
                <w:numId w:val="4"/>
              </w:numPr>
              <w:jc w:val="both"/>
              <w:rPr>
                <w:sz w:val="20"/>
              </w:rPr>
            </w:pPr>
            <w:r w:rsidRPr="005E725F">
              <w:rPr>
                <w:sz w:val="20"/>
              </w:rPr>
              <w:t>Si la même demande est introduite plusieurs fois (ex : plusieurs fournisseurs ou installateurs, bureaux d’études), le montant de l’étude sera facturé autant de fois qu’il y a de demandeurs</w:t>
            </w:r>
            <w:r w:rsidR="00FE760E">
              <w:rPr>
                <w:sz w:val="20"/>
              </w:rPr>
              <w:t>.</w:t>
            </w:r>
          </w:p>
          <w:p w:rsidR="00ED547F" w:rsidRPr="005E725F" w:rsidRDefault="00ED547F" w:rsidP="008C227A">
            <w:pPr>
              <w:pStyle w:val="Paragraphedeliste"/>
              <w:numPr>
                <w:ilvl w:val="0"/>
                <w:numId w:val="4"/>
              </w:numPr>
              <w:jc w:val="both"/>
              <w:rPr>
                <w:sz w:val="20"/>
              </w:rPr>
            </w:pPr>
            <w:r w:rsidRPr="005E725F">
              <w:rPr>
                <w:sz w:val="20"/>
              </w:rPr>
              <w:t xml:space="preserve">Au cas où l’étude de détail reprendrait les mêmes paramètres que l’étude d’orientation, </w:t>
            </w:r>
            <w:r w:rsidR="008C227A" w:rsidRPr="005E725F">
              <w:rPr>
                <w:sz w:val="20"/>
              </w:rPr>
              <w:t>le montant payé par le demandeur pour l’étude</w:t>
            </w:r>
            <w:r w:rsidRPr="005E725F">
              <w:rPr>
                <w:sz w:val="20"/>
              </w:rPr>
              <w:t xml:space="preserve"> d’orientation sera déduit</w:t>
            </w:r>
            <w:r w:rsidR="00FE760E">
              <w:rPr>
                <w:sz w:val="20"/>
              </w:rPr>
              <w:t xml:space="preserve"> de celui de l’étude de détail.</w:t>
            </w:r>
          </w:p>
          <w:p w:rsidR="00ED547F" w:rsidRPr="005E725F" w:rsidRDefault="00ED547F" w:rsidP="000D1269">
            <w:pPr>
              <w:pStyle w:val="Paragraphedeliste"/>
              <w:numPr>
                <w:ilvl w:val="0"/>
                <w:numId w:val="4"/>
              </w:numPr>
              <w:jc w:val="both"/>
              <w:rPr>
                <w:sz w:val="20"/>
              </w:rPr>
            </w:pPr>
            <w:r w:rsidRPr="005E725F">
              <w:rPr>
                <w:sz w:val="20"/>
              </w:rPr>
              <w:t>En cas de demande de raccordement pouvant mettre en œuvre sur un même site plusieurs raccordements de puissance</w:t>
            </w:r>
            <w:r w:rsidR="00C53D59">
              <w:rPr>
                <w:sz w:val="20"/>
              </w:rPr>
              <w:t>s</w:t>
            </w:r>
            <w:r w:rsidRPr="005E725F">
              <w:rPr>
                <w:sz w:val="20"/>
              </w:rPr>
              <w:t xml:space="preserve"> et de type</w:t>
            </w:r>
            <w:r w:rsidR="00C53D59">
              <w:rPr>
                <w:sz w:val="20"/>
              </w:rPr>
              <w:t>s</w:t>
            </w:r>
            <w:r w:rsidRPr="005E725F">
              <w:rPr>
                <w:sz w:val="20"/>
              </w:rPr>
              <w:t xml:space="preserve"> différents (ex : complexe commercial), les frais d’étude sont calculés sur base de  la puissance finale de prélèvement et/ou de production (av</w:t>
            </w:r>
            <w:r w:rsidR="00FE760E">
              <w:rPr>
                <w:sz w:val="20"/>
              </w:rPr>
              <w:t>ec ou sans injection) demandée.</w:t>
            </w:r>
          </w:p>
          <w:p w:rsidR="00ED547F" w:rsidRPr="005E725F" w:rsidRDefault="00ED547F" w:rsidP="000D1269">
            <w:pPr>
              <w:pStyle w:val="Paragraphedeliste"/>
              <w:numPr>
                <w:ilvl w:val="0"/>
                <w:numId w:val="4"/>
              </w:numPr>
              <w:jc w:val="both"/>
              <w:rPr>
                <w:sz w:val="20"/>
              </w:rPr>
            </w:pPr>
            <w:r w:rsidRPr="005E725F">
              <w:rPr>
                <w:sz w:val="20"/>
              </w:rPr>
              <w:t>En cas de réactualisation des prix de l’offre avec modification des paramètres de la demande initiale et/ou modification de la solution technique, une nouvelle étude sera facturée et un nouveau contr</w:t>
            </w:r>
            <w:r w:rsidR="00FE760E">
              <w:rPr>
                <w:sz w:val="20"/>
              </w:rPr>
              <w:t>at de raccordement sera établi.</w:t>
            </w:r>
          </w:p>
          <w:p w:rsidR="00ED547F" w:rsidRPr="005E725F" w:rsidRDefault="00ED547F" w:rsidP="000D1269">
            <w:pPr>
              <w:pStyle w:val="Paragraphedeliste"/>
              <w:numPr>
                <w:ilvl w:val="0"/>
                <w:numId w:val="4"/>
              </w:numPr>
              <w:jc w:val="both"/>
              <w:rPr>
                <w:sz w:val="20"/>
              </w:rPr>
            </w:pPr>
            <w:r w:rsidRPr="005E725F">
              <w:rPr>
                <w:sz w:val="20"/>
              </w:rPr>
              <w:t xml:space="preserve">En cas de réactualisation des prix de l’offre sans modification des paramètres de la demande initiale et sans modification de la solution technique, seuls des frais d'adaptation de l'offre et du contrat </w:t>
            </w:r>
            <w:r w:rsidR="00C53D59">
              <w:rPr>
                <w:sz w:val="20"/>
              </w:rPr>
              <w:t>d</w:t>
            </w:r>
            <w:r w:rsidR="00FE760E">
              <w:rPr>
                <w:sz w:val="20"/>
              </w:rPr>
              <w:t>e raccordement seront facturés.</w:t>
            </w:r>
          </w:p>
          <w:p w:rsidR="00ED547F" w:rsidRPr="005E725F" w:rsidRDefault="00ED547F" w:rsidP="000D1269">
            <w:pPr>
              <w:pStyle w:val="Paragraphedeliste"/>
              <w:numPr>
                <w:ilvl w:val="0"/>
                <w:numId w:val="4"/>
              </w:numPr>
              <w:jc w:val="both"/>
              <w:rPr>
                <w:sz w:val="20"/>
              </w:rPr>
            </w:pPr>
            <w:r w:rsidRPr="005E725F">
              <w:rPr>
                <w:sz w:val="20"/>
              </w:rPr>
              <w:t>En cas de demande simultanée pour une puissance de prélèvement et une puissance de production, le coût des frais d'étude à appliquer correspond au coût le plus élevé entre le prélèvement et la production avec ou sans injection.</w:t>
            </w:r>
          </w:p>
          <w:p w:rsidR="002623D4" w:rsidRPr="005E725F" w:rsidRDefault="002623D4" w:rsidP="000D1269">
            <w:pPr>
              <w:pStyle w:val="Paragraphedeliste"/>
              <w:jc w:val="both"/>
              <w:rPr>
                <w:sz w:val="20"/>
              </w:rPr>
            </w:pPr>
          </w:p>
        </w:tc>
      </w:tr>
    </w:tbl>
    <w:p w:rsidR="00056BD5" w:rsidRPr="007A7C00" w:rsidRDefault="00056BD5" w:rsidP="00433D9D">
      <w:pPr>
        <w:jc w:val="right"/>
        <w:sectPr w:rsidR="00056BD5" w:rsidRPr="007A7C00">
          <w:headerReference w:type="default" r:id="rId8"/>
          <w:footerReference w:type="default" r:id="rId9"/>
          <w:pgSz w:w="11906" w:h="16838"/>
          <w:pgMar w:top="1417" w:right="1417" w:bottom="1417" w:left="1417" w:header="708" w:footer="708" w:gutter="0"/>
          <w:cols w:space="708"/>
          <w:docGrid w:linePitch="360"/>
        </w:sectPr>
      </w:pPr>
    </w:p>
    <w:tbl>
      <w:tblPr>
        <w:tblStyle w:val="Grilledutableau"/>
        <w:tblW w:w="8964" w:type="dxa"/>
        <w:tblInd w:w="-5" w:type="dxa"/>
        <w:tblLayout w:type="fixed"/>
        <w:tblLook w:val="04A0" w:firstRow="1" w:lastRow="0" w:firstColumn="1" w:lastColumn="0" w:noHBand="0" w:noVBand="1"/>
      </w:tblPr>
      <w:tblGrid>
        <w:gridCol w:w="7230"/>
        <w:gridCol w:w="567"/>
        <w:gridCol w:w="1167"/>
      </w:tblGrid>
      <w:tr w:rsidR="00E64EFC" w:rsidRPr="005E725F" w:rsidTr="00B3744E">
        <w:trPr>
          <w:trHeight w:val="441"/>
        </w:trPr>
        <w:tc>
          <w:tcPr>
            <w:tcW w:w="8964" w:type="dxa"/>
            <w:gridSpan w:val="3"/>
            <w:shd w:val="clear" w:color="auto" w:fill="D9E2F3" w:themeFill="accent5" w:themeFillTint="33"/>
            <w:vAlign w:val="center"/>
          </w:tcPr>
          <w:p w:rsidR="00E64EFC" w:rsidRPr="005E725F" w:rsidRDefault="008B42B3" w:rsidP="008B42B3">
            <w:pPr>
              <w:rPr>
                <w:b/>
                <w:sz w:val="28"/>
              </w:rPr>
            </w:pPr>
            <w:r w:rsidRPr="008B42B3">
              <w:rPr>
                <w:b/>
                <w:sz w:val="28"/>
              </w:rPr>
              <w:lastRenderedPageBreak/>
              <w:t>Raccordement standard - G4 - G6</w:t>
            </w:r>
          </w:p>
        </w:tc>
      </w:tr>
      <w:tr w:rsidR="00AA7825" w:rsidRPr="00AA7825" w:rsidTr="00D30980">
        <w:trPr>
          <w:trHeight w:val="396"/>
        </w:trPr>
        <w:tc>
          <w:tcPr>
            <w:tcW w:w="7230" w:type="dxa"/>
            <w:vAlign w:val="center"/>
          </w:tcPr>
          <w:p w:rsidR="00AA7825" w:rsidRPr="00AA7825" w:rsidRDefault="00AA7825" w:rsidP="00AA7825">
            <w:pPr>
              <w:rPr>
                <w:sz w:val="20"/>
                <w:szCs w:val="20"/>
              </w:rPr>
            </w:pPr>
            <w:r w:rsidRPr="00AA7825">
              <w:rPr>
                <w:sz w:val="20"/>
                <w:szCs w:val="20"/>
              </w:rPr>
              <w:t>Raccordement  standard</w:t>
            </w:r>
          </w:p>
        </w:tc>
        <w:tc>
          <w:tcPr>
            <w:tcW w:w="567" w:type="dxa"/>
            <w:vAlign w:val="center"/>
          </w:tcPr>
          <w:p w:rsidR="00AA7825" w:rsidRPr="00AA7825" w:rsidRDefault="00AA7825" w:rsidP="00AA7825">
            <w:pPr>
              <w:rPr>
                <w:sz w:val="20"/>
                <w:szCs w:val="20"/>
              </w:rPr>
            </w:pPr>
            <w:r w:rsidRPr="00AA7825">
              <w:rPr>
                <w:sz w:val="20"/>
                <w:szCs w:val="20"/>
              </w:rPr>
              <w:t>€</w:t>
            </w:r>
          </w:p>
        </w:tc>
        <w:tc>
          <w:tcPr>
            <w:tcW w:w="1167" w:type="dxa"/>
            <w:vAlign w:val="center"/>
          </w:tcPr>
          <w:p w:rsidR="00AA7825" w:rsidRPr="00AA7825" w:rsidRDefault="006F5265" w:rsidP="00141E7E">
            <w:pPr>
              <w:jc w:val="right"/>
              <w:rPr>
                <w:sz w:val="20"/>
                <w:szCs w:val="20"/>
              </w:rPr>
            </w:pPr>
            <w:r w:rsidRPr="006F5265">
              <w:rPr>
                <w:sz w:val="20"/>
                <w:szCs w:val="20"/>
              </w:rPr>
              <w:t>9</w:t>
            </w:r>
            <w:r w:rsidR="00141E7E">
              <w:rPr>
                <w:sz w:val="20"/>
                <w:szCs w:val="20"/>
              </w:rPr>
              <w:t>67</w:t>
            </w:r>
            <w:r w:rsidRPr="006F5265">
              <w:rPr>
                <w:sz w:val="20"/>
                <w:szCs w:val="20"/>
              </w:rPr>
              <w:t>,</w:t>
            </w:r>
            <w:r w:rsidR="00141E7E">
              <w:rPr>
                <w:sz w:val="20"/>
                <w:szCs w:val="20"/>
              </w:rPr>
              <w:t>99</w:t>
            </w:r>
          </w:p>
        </w:tc>
      </w:tr>
      <w:tr w:rsidR="00AA7825" w:rsidRPr="00AA7825" w:rsidTr="00D30980">
        <w:trPr>
          <w:trHeight w:val="340"/>
        </w:trPr>
        <w:tc>
          <w:tcPr>
            <w:tcW w:w="7230" w:type="dxa"/>
            <w:vAlign w:val="center"/>
          </w:tcPr>
          <w:p w:rsidR="00AA7825" w:rsidRPr="00AA7825" w:rsidRDefault="00AA7825" w:rsidP="00AA7825">
            <w:pPr>
              <w:rPr>
                <w:sz w:val="20"/>
                <w:szCs w:val="20"/>
              </w:rPr>
            </w:pPr>
            <w:r w:rsidRPr="00AA7825">
              <w:rPr>
                <w:sz w:val="20"/>
                <w:szCs w:val="20"/>
              </w:rPr>
              <w:t>Raccordement "standard gratuit"</w:t>
            </w:r>
          </w:p>
        </w:tc>
        <w:tc>
          <w:tcPr>
            <w:tcW w:w="567" w:type="dxa"/>
            <w:vAlign w:val="center"/>
          </w:tcPr>
          <w:p w:rsidR="00AA7825" w:rsidRPr="00AA7825" w:rsidRDefault="00AA7825" w:rsidP="00AA7825">
            <w:pPr>
              <w:rPr>
                <w:sz w:val="20"/>
                <w:szCs w:val="20"/>
              </w:rPr>
            </w:pPr>
            <w:r w:rsidRPr="00AA7825">
              <w:rPr>
                <w:sz w:val="20"/>
                <w:szCs w:val="20"/>
              </w:rPr>
              <w:t>€</w:t>
            </w:r>
          </w:p>
        </w:tc>
        <w:tc>
          <w:tcPr>
            <w:tcW w:w="1167" w:type="dxa"/>
            <w:vAlign w:val="center"/>
          </w:tcPr>
          <w:p w:rsidR="00AA7825" w:rsidRPr="00AA7825" w:rsidRDefault="006F5265" w:rsidP="00AA7825">
            <w:pPr>
              <w:jc w:val="right"/>
              <w:rPr>
                <w:sz w:val="20"/>
                <w:szCs w:val="20"/>
              </w:rPr>
            </w:pPr>
            <w:r>
              <w:rPr>
                <w:sz w:val="20"/>
                <w:szCs w:val="20"/>
              </w:rPr>
              <w:t>0</w:t>
            </w:r>
            <w:r w:rsidR="005E10AE">
              <w:rPr>
                <w:sz w:val="20"/>
                <w:szCs w:val="20"/>
              </w:rPr>
              <w:t>,00</w:t>
            </w:r>
          </w:p>
        </w:tc>
      </w:tr>
      <w:tr w:rsidR="00494974" w:rsidRPr="007A7C00" w:rsidTr="005E10AE">
        <w:trPr>
          <w:trHeight w:val="340"/>
        </w:trPr>
        <w:tc>
          <w:tcPr>
            <w:tcW w:w="8964" w:type="dxa"/>
            <w:gridSpan w:val="3"/>
            <w:tcBorders>
              <w:top w:val="single" w:sz="4" w:space="0" w:color="auto"/>
              <w:bottom w:val="single" w:sz="4" w:space="0" w:color="auto"/>
            </w:tcBorders>
            <w:shd w:val="clear" w:color="auto" w:fill="D9E2F3" w:themeFill="accent5" w:themeFillTint="33"/>
            <w:vAlign w:val="center"/>
          </w:tcPr>
          <w:p w:rsidR="00494974" w:rsidRPr="007A7C00" w:rsidRDefault="00494974" w:rsidP="00494974">
            <w:pPr>
              <w:ind w:left="601"/>
              <w:rPr>
                <w:sz w:val="28"/>
              </w:rPr>
            </w:pPr>
            <w:r w:rsidRPr="00AA7825">
              <w:rPr>
                <w:b/>
                <w:sz w:val="28"/>
              </w:rPr>
              <w:t>Remarques</w:t>
            </w:r>
          </w:p>
        </w:tc>
      </w:tr>
      <w:tr w:rsidR="00494974" w:rsidRPr="009056C1" w:rsidTr="00FE17A1">
        <w:trPr>
          <w:trHeight w:val="340"/>
        </w:trPr>
        <w:tc>
          <w:tcPr>
            <w:tcW w:w="8964" w:type="dxa"/>
            <w:gridSpan w:val="3"/>
            <w:tcBorders>
              <w:top w:val="single" w:sz="4" w:space="0" w:color="auto"/>
              <w:left w:val="single" w:sz="4" w:space="0" w:color="auto"/>
              <w:bottom w:val="single" w:sz="4" w:space="0" w:color="auto"/>
              <w:right w:val="single" w:sz="4" w:space="0" w:color="auto"/>
            </w:tcBorders>
          </w:tcPr>
          <w:p w:rsidR="00494974" w:rsidRPr="009056C1" w:rsidRDefault="00494974" w:rsidP="00494974">
            <w:pPr>
              <w:pStyle w:val="Paragraphedeliste"/>
              <w:numPr>
                <w:ilvl w:val="0"/>
                <w:numId w:val="12"/>
              </w:numPr>
              <w:ind w:left="885" w:hanging="284"/>
              <w:rPr>
                <w:sz w:val="20"/>
              </w:rPr>
            </w:pPr>
            <w:r w:rsidRPr="009056C1">
              <w:rPr>
                <w:sz w:val="20"/>
              </w:rPr>
              <w:t>"Le raccordement standard pour un client résidentiel est gratuit (Décret Wallon 17 juillet 2008 et 12 JUILLET 2007. – Arrêté du Gouvernement wallon relatif à la révision du règlement technique pour la gestion des réseaux de distribution de gaz et l’accès à ceux-ci)"</w:t>
            </w:r>
            <w:r w:rsidR="00FE760E">
              <w:rPr>
                <w:sz w:val="20"/>
              </w:rPr>
              <w:t>.</w:t>
            </w:r>
          </w:p>
          <w:p w:rsidR="00494974" w:rsidRPr="009056C1" w:rsidRDefault="00494974" w:rsidP="00494974">
            <w:pPr>
              <w:pStyle w:val="Paragraphedeliste"/>
              <w:numPr>
                <w:ilvl w:val="0"/>
                <w:numId w:val="12"/>
              </w:numPr>
              <w:ind w:left="885" w:hanging="284"/>
              <w:rPr>
                <w:sz w:val="20"/>
              </w:rPr>
            </w:pPr>
            <w:r w:rsidRPr="009056C1">
              <w:rPr>
                <w:sz w:val="20"/>
              </w:rPr>
              <w:t>Raccordement standard gratuit uniquement valable pour client résidentiel avec raccordement unifamilial</w:t>
            </w:r>
            <w:r w:rsidR="00FE760E">
              <w:rPr>
                <w:sz w:val="20"/>
              </w:rPr>
              <w:t>.</w:t>
            </w:r>
          </w:p>
          <w:p w:rsidR="00494974" w:rsidRPr="009056C1" w:rsidRDefault="00494974" w:rsidP="00494974">
            <w:pPr>
              <w:pStyle w:val="Paragraphedeliste"/>
              <w:numPr>
                <w:ilvl w:val="0"/>
                <w:numId w:val="12"/>
              </w:numPr>
              <w:ind w:left="885" w:hanging="284"/>
              <w:rPr>
                <w:sz w:val="20"/>
              </w:rPr>
            </w:pPr>
            <w:r w:rsidRPr="009056C1">
              <w:rPr>
                <w:sz w:val="20"/>
              </w:rPr>
              <w:t>Dans le cadre de raccordement standard gratuit, en cas de non mise en service de l'ouvrage de raccordement dans un délai de 12 mois après la mise sous gaz du raccordement, le GRD se réserve le droit de facturer le montant repris ci-dessous</w:t>
            </w:r>
            <w:r w:rsidR="005E10AE">
              <w:rPr>
                <w:sz w:val="20"/>
              </w:rPr>
              <w:t>.</w:t>
            </w:r>
          </w:p>
        </w:tc>
      </w:tr>
      <w:tr w:rsidR="00494974" w:rsidRPr="009056C1" w:rsidTr="00FE17A1">
        <w:trPr>
          <w:trHeight w:val="340"/>
        </w:trPr>
        <w:tc>
          <w:tcPr>
            <w:tcW w:w="7230" w:type="dxa"/>
            <w:tcBorders>
              <w:top w:val="single" w:sz="4" w:space="0" w:color="auto"/>
              <w:left w:val="single" w:sz="4" w:space="0" w:color="auto"/>
              <w:bottom w:val="single" w:sz="4" w:space="0" w:color="auto"/>
              <w:right w:val="single" w:sz="4" w:space="0" w:color="auto"/>
            </w:tcBorders>
          </w:tcPr>
          <w:p w:rsidR="00494974" w:rsidRPr="009056C1" w:rsidRDefault="00494974" w:rsidP="00E61D19">
            <w:pPr>
              <w:pStyle w:val="Paragraphedeliste"/>
              <w:numPr>
                <w:ilvl w:val="0"/>
                <w:numId w:val="12"/>
              </w:numPr>
              <w:ind w:left="885" w:hanging="284"/>
              <w:rPr>
                <w:sz w:val="20"/>
              </w:rPr>
            </w:pPr>
            <w:r w:rsidRPr="009056C1">
              <w:rPr>
                <w:sz w:val="20"/>
              </w:rPr>
              <w:t>Frais minimum facturés pour raccordement standard gratuit non mis en service dans les 12 mois qui suivent sa mise en place. Ce montant, précisé dans l'offre,  dépend des éléments fournis dans le cadre du raccordement.</w:t>
            </w:r>
          </w:p>
        </w:tc>
        <w:tc>
          <w:tcPr>
            <w:tcW w:w="567" w:type="dxa"/>
            <w:tcBorders>
              <w:top w:val="single" w:sz="4" w:space="0" w:color="auto"/>
              <w:left w:val="single" w:sz="4" w:space="0" w:color="auto"/>
              <w:bottom w:val="single" w:sz="4" w:space="0" w:color="auto"/>
              <w:right w:val="single" w:sz="4" w:space="0" w:color="auto"/>
            </w:tcBorders>
            <w:vAlign w:val="center"/>
          </w:tcPr>
          <w:p w:rsidR="00494974" w:rsidRPr="009056C1" w:rsidRDefault="00494974" w:rsidP="009056C1">
            <w:pPr>
              <w:rPr>
                <w:sz w:val="20"/>
              </w:rPr>
            </w:pPr>
            <w:r>
              <w:rPr>
                <w:sz w:val="20"/>
              </w:rPr>
              <w:t>€</w:t>
            </w:r>
          </w:p>
        </w:tc>
        <w:tc>
          <w:tcPr>
            <w:tcW w:w="1167" w:type="dxa"/>
            <w:tcBorders>
              <w:top w:val="single" w:sz="4" w:space="0" w:color="auto"/>
              <w:left w:val="single" w:sz="4" w:space="0" w:color="auto"/>
              <w:bottom w:val="single" w:sz="4" w:space="0" w:color="auto"/>
              <w:right w:val="single" w:sz="4" w:space="0" w:color="auto"/>
            </w:tcBorders>
            <w:vAlign w:val="center"/>
          </w:tcPr>
          <w:p w:rsidR="00494974" w:rsidRPr="009056C1" w:rsidRDefault="00141E7E" w:rsidP="009056C1">
            <w:pPr>
              <w:jc w:val="right"/>
              <w:rPr>
                <w:sz w:val="20"/>
              </w:rPr>
            </w:pPr>
            <w:r w:rsidRPr="006F5265">
              <w:rPr>
                <w:sz w:val="20"/>
                <w:szCs w:val="20"/>
              </w:rPr>
              <w:t>9</w:t>
            </w:r>
            <w:r>
              <w:rPr>
                <w:sz w:val="20"/>
                <w:szCs w:val="20"/>
              </w:rPr>
              <w:t>67</w:t>
            </w:r>
            <w:r w:rsidRPr="006F5265">
              <w:rPr>
                <w:sz w:val="20"/>
                <w:szCs w:val="20"/>
              </w:rPr>
              <w:t>,</w:t>
            </w:r>
            <w:r>
              <w:rPr>
                <w:sz w:val="20"/>
                <w:szCs w:val="20"/>
              </w:rPr>
              <w:t>99</w:t>
            </w:r>
          </w:p>
        </w:tc>
      </w:tr>
      <w:tr w:rsidR="009056C1" w:rsidRPr="005E725F" w:rsidTr="00B3744E">
        <w:trPr>
          <w:trHeight w:val="441"/>
        </w:trPr>
        <w:tc>
          <w:tcPr>
            <w:tcW w:w="8964" w:type="dxa"/>
            <w:gridSpan w:val="3"/>
            <w:shd w:val="clear" w:color="auto" w:fill="D9E2F3" w:themeFill="accent5" w:themeFillTint="33"/>
            <w:vAlign w:val="center"/>
          </w:tcPr>
          <w:p w:rsidR="009056C1" w:rsidRPr="005E725F" w:rsidRDefault="009056C1" w:rsidP="009D6F04">
            <w:pPr>
              <w:rPr>
                <w:b/>
                <w:sz w:val="28"/>
              </w:rPr>
            </w:pPr>
            <w:r w:rsidRPr="009056C1">
              <w:rPr>
                <w:b/>
                <w:sz w:val="28"/>
              </w:rPr>
              <w:t xml:space="preserve">Raccordements sur les réseaux de Distribution </w:t>
            </w:r>
            <w:r w:rsidR="009D6F04">
              <w:rPr>
                <w:b/>
                <w:sz w:val="28"/>
              </w:rPr>
              <w:t>BP</w:t>
            </w:r>
            <w:r w:rsidRPr="009056C1">
              <w:rPr>
                <w:b/>
                <w:sz w:val="28"/>
              </w:rPr>
              <w:tab/>
            </w:r>
          </w:p>
        </w:tc>
      </w:tr>
      <w:tr w:rsidR="00141E7E" w:rsidRPr="009056C1" w:rsidTr="00C53D59">
        <w:trPr>
          <w:trHeight w:val="396"/>
        </w:trPr>
        <w:tc>
          <w:tcPr>
            <w:tcW w:w="7230" w:type="dxa"/>
            <w:vAlign w:val="center"/>
          </w:tcPr>
          <w:p w:rsidR="00141E7E" w:rsidRPr="009056C1" w:rsidRDefault="00141E7E" w:rsidP="00141E7E">
            <w:pPr>
              <w:rPr>
                <w:sz w:val="20"/>
                <w:szCs w:val="20"/>
              </w:rPr>
            </w:pPr>
            <w:r w:rsidRPr="009056C1">
              <w:rPr>
                <w:sz w:val="20"/>
                <w:szCs w:val="20"/>
              </w:rPr>
              <w:t>Raccordement standard G10</w:t>
            </w:r>
          </w:p>
        </w:tc>
        <w:tc>
          <w:tcPr>
            <w:tcW w:w="567" w:type="dxa"/>
            <w:vAlign w:val="center"/>
          </w:tcPr>
          <w:p w:rsidR="00141E7E" w:rsidRPr="009056C1" w:rsidRDefault="00141E7E" w:rsidP="00141E7E">
            <w:pPr>
              <w:rPr>
                <w:sz w:val="20"/>
                <w:szCs w:val="20"/>
              </w:rPr>
            </w:pPr>
            <w:r w:rsidRPr="009056C1">
              <w:rPr>
                <w:sz w:val="20"/>
                <w:szCs w:val="20"/>
              </w:rPr>
              <w:t>€</w:t>
            </w:r>
          </w:p>
        </w:tc>
        <w:tc>
          <w:tcPr>
            <w:tcW w:w="1167" w:type="dxa"/>
            <w:vAlign w:val="center"/>
          </w:tcPr>
          <w:p w:rsidR="00141E7E" w:rsidRPr="00141E7E" w:rsidRDefault="00141E7E" w:rsidP="00141E7E">
            <w:pPr>
              <w:jc w:val="right"/>
              <w:rPr>
                <w:sz w:val="20"/>
                <w:szCs w:val="20"/>
              </w:rPr>
            </w:pPr>
            <w:r w:rsidRPr="00141E7E">
              <w:rPr>
                <w:sz w:val="20"/>
                <w:szCs w:val="20"/>
              </w:rPr>
              <w:t>967,99</w:t>
            </w:r>
          </w:p>
        </w:tc>
      </w:tr>
      <w:tr w:rsidR="00141E7E" w:rsidRPr="009056C1" w:rsidTr="00C53D59">
        <w:trPr>
          <w:trHeight w:val="340"/>
        </w:trPr>
        <w:tc>
          <w:tcPr>
            <w:tcW w:w="7230" w:type="dxa"/>
            <w:vAlign w:val="center"/>
          </w:tcPr>
          <w:p w:rsidR="00141E7E" w:rsidRPr="009056C1" w:rsidRDefault="00141E7E" w:rsidP="00141E7E">
            <w:pPr>
              <w:rPr>
                <w:sz w:val="20"/>
                <w:szCs w:val="20"/>
              </w:rPr>
            </w:pPr>
            <w:r w:rsidRPr="009056C1">
              <w:rPr>
                <w:sz w:val="20"/>
                <w:szCs w:val="20"/>
              </w:rPr>
              <w:t>Raccordement standard G16</w:t>
            </w:r>
          </w:p>
        </w:tc>
        <w:tc>
          <w:tcPr>
            <w:tcW w:w="567" w:type="dxa"/>
            <w:vAlign w:val="center"/>
          </w:tcPr>
          <w:p w:rsidR="00141E7E" w:rsidRPr="009056C1" w:rsidRDefault="00141E7E" w:rsidP="00141E7E">
            <w:pPr>
              <w:rPr>
                <w:sz w:val="20"/>
                <w:szCs w:val="20"/>
              </w:rPr>
            </w:pPr>
            <w:r w:rsidRPr="009056C1">
              <w:rPr>
                <w:sz w:val="20"/>
                <w:szCs w:val="20"/>
              </w:rPr>
              <w:t>€</w:t>
            </w:r>
          </w:p>
        </w:tc>
        <w:tc>
          <w:tcPr>
            <w:tcW w:w="1167" w:type="dxa"/>
            <w:vAlign w:val="center"/>
          </w:tcPr>
          <w:p w:rsidR="00141E7E" w:rsidRPr="00141E7E" w:rsidRDefault="00141E7E" w:rsidP="00141E7E">
            <w:pPr>
              <w:jc w:val="right"/>
              <w:rPr>
                <w:sz w:val="20"/>
                <w:szCs w:val="20"/>
              </w:rPr>
            </w:pPr>
            <w:r w:rsidRPr="00141E7E">
              <w:rPr>
                <w:sz w:val="20"/>
                <w:szCs w:val="20"/>
              </w:rPr>
              <w:t>1.062,66</w:t>
            </w:r>
          </w:p>
        </w:tc>
      </w:tr>
      <w:tr w:rsidR="00141E7E" w:rsidRPr="009056C1" w:rsidTr="00C53D59">
        <w:trPr>
          <w:trHeight w:val="340"/>
        </w:trPr>
        <w:tc>
          <w:tcPr>
            <w:tcW w:w="7230" w:type="dxa"/>
            <w:vAlign w:val="center"/>
          </w:tcPr>
          <w:p w:rsidR="00141E7E" w:rsidRPr="009056C1" w:rsidRDefault="00141E7E" w:rsidP="00141E7E">
            <w:pPr>
              <w:rPr>
                <w:sz w:val="20"/>
                <w:szCs w:val="20"/>
              </w:rPr>
            </w:pPr>
            <w:r w:rsidRPr="009056C1">
              <w:rPr>
                <w:sz w:val="20"/>
                <w:szCs w:val="20"/>
              </w:rPr>
              <w:t>Raccordement standard G25</w:t>
            </w:r>
          </w:p>
        </w:tc>
        <w:tc>
          <w:tcPr>
            <w:tcW w:w="567" w:type="dxa"/>
            <w:vAlign w:val="center"/>
          </w:tcPr>
          <w:p w:rsidR="00141E7E" w:rsidRPr="009056C1" w:rsidRDefault="00141E7E" w:rsidP="00141E7E">
            <w:pPr>
              <w:rPr>
                <w:sz w:val="20"/>
                <w:szCs w:val="20"/>
              </w:rPr>
            </w:pPr>
            <w:r w:rsidRPr="009056C1">
              <w:rPr>
                <w:sz w:val="20"/>
                <w:szCs w:val="20"/>
              </w:rPr>
              <w:t>€</w:t>
            </w:r>
          </w:p>
        </w:tc>
        <w:tc>
          <w:tcPr>
            <w:tcW w:w="1167" w:type="dxa"/>
            <w:vAlign w:val="center"/>
          </w:tcPr>
          <w:p w:rsidR="00141E7E" w:rsidRPr="00141E7E" w:rsidRDefault="00141E7E" w:rsidP="00141E7E">
            <w:pPr>
              <w:jc w:val="right"/>
              <w:rPr>
                <w:sz w:val="20"/>
                <w:szCs w:val="20"/>
              </w:rPr>
            </w:pPr>
            <w:r w:rsidRPr="00141E7E">
              <w:rPr>
                <w:sz w:val="20"/>
                <w:szCs w:val="20"/>
              </w:rPr>
              <w:t>2.657,16</w:t>
            </w:r>
          </w:p>
        </w:tc>
      </w:tr>
      <w:tr w:rsidR="009D6F04" w:rsidRPr="009056C1" w:rsidTr="00C53D59">
        <w:trPr>
          <w:trHeight w:val="340"/>
        </w:trPr>
        <w:tc>
          <w:tcPr>
            <w:tcW w:w="7230" w:type="dxa"/>
            <w:vAlign w:val="center"/>
          </w:tcPr>
          <w:p w:rsidR="009D6F04" w:rsidRPr="009056C1" w:rsidRDefault="009D6F04" w:rsidP="00B3744E">
            <w:pPr>
              <w:rPr>
                <w:sz w:val="20"/>
                <w:szCs w:val="20"/>
              </w:rPr>
            </w:pPr>
            <w:r w:rsidRPr="009056C1">
              <w:rPr>
                <w:sz w:val="20"/>
                <w:szCs w:val="20"/>
              </w:rPr>
              <w:t>Raccordement &gt; G25</w:t>
            </w:r>
          </w:p>
        </w:tc>
        <w:tc>
          <w:tcPr>
            <w:tcW w:w="567" w:type="dxa"/>
            <w:vAlign w:val="center"/>
          </w:tcPr>
          <w:p w:rsidR="009D6F04" w:rsidRPr="009056C1" w:rsidRDefault="009D6F04" w:rsidP="00B3744E">
            <w:pPr>
              <w:rPr>
                <w:sz w:val="20"/>
                <w:szCs w:val="20"/>
              </w:rPr>
            </w:pPr>
            <w:r w:rsidRPr="009056C1">
              <w:rPr>
                <w:sz w:val="20"/>
                <w:szCs w:val="20"/>
              </w:rPr>
              <w:t>€</w:t>
            </w:r>
          </w:p>
        </w:tc>
        <w:tc>
          <w:tcPr>
            <w:tcW w:w="1167" w:type="dxa"/>
            <w:vAlign w:val="center"/>
          </w:tcPr>
          <w:p w:rsidR="009D6F04" w:rsidRPr="009D6F04" w:rsidRDefault="006F5265" w:rsidP="00746BCC">
            <w:pPr>
              <w:jc w:val="right"/>
              <w:rPr>
                <w:sz w:val="20"/>
                <w:szCs w:val="20"/>
              </w:rPr>
            </w:pPr>
            <w:r w:rsidRPr="006F5265">
              <w:rPr>
                <w:sz w:val="20"/>
                <w:szCs w:val="20"/>
              </w:rPr>
              <w:t>DEVIS</w:t>
            </w:r>
          </w:p>
        </w:tc>
      </w:tr>
      <w:tr w:rsidR="00AC38A9" w:rsidRPr="00335726" w:rsidTr="005E10AE">
        <w:trPr>
          <w:trHeight w:val="340"/>
        </w:trPr>
        <w:tc>
          <w:tcPr>
            <w:tcW w:w="8964" w:type="dxa"/>
            <w:gridSpan w:val="3"/>
            <w:shd w:val="clear" w:color="auto" w:fill="D9E2F3" w:themeFill="accent5" w:themeFillTint="33"/>
            <w:vAlign w:val="center"/>
          </w:tcPr>
          <w:p w:rsidR="00AC38A9" w:rsidRPr="009D6F04" w:rsidRDefault="00AC38A9" w:rsidP="00AC38A9">
            <w:pPr>
              <w:rPr>
                <w:sz w:val="20"/>
                <w:szCs w:val="20"/>
              </w:rPr>
            </w:pPr>
            <w:r w:rsidRPr="00335726">
              <w:rPr>
                <w:b/>
                <w:sz w:val="28"/>
              </w:rPr>
              <w:t>Suppléments pose et revêtement</w:t>
            </w:r>
            <w:r w:rsidRPr="00335726">
              <w:rPr>
                <w:b/>
                <w:sz w:val="28"/>
              </w:rPr>
              <w:tab/>
            </w:r>
            <w:r w:rsidRPr="00335726">
              <w:rPr>
                <w:b/>
                <w:sz w:val="28"/>
              </w:rPr>
              <w:tab/>
            </w:r>
            <w:r w:rsidRPr="00335726">
              <w:rPr>
                <w:b/>
                <w:sz w:val="28"/>
              </w:rPr>
              <w:tab/>
            </w:r>
            <w:r w:rsidRPr="00335726">
              <w:rPr>
                <w:b/>
                <w:sz w:val="28"/>
              </w:rPr>
              <w:tab/>
            </w:r>
          </w:p>
        </w:tc>
      </w:tr>
      <w:tr w:rsidR="00AD1EAD" w:rsidRPr="009056C1" w:rsidTr="00C53D59">
        <w:trPr>
          <w:trHeight w:val="340"/>
        </w:trPr>
        <w:tc>
          <w:tcPr>
            <w:tcW w:w="7230" w:type="dxa"/>
            <w:vAlign w:val="center"/>
          </w:tcPr>
          <w:p w:rsidR="00AD1EAD" w:rsidRPr="00335726" w:rsidRDefault="00AD1EAD" w:rsidP="00AD1EAD">
            <w:pPr>
              <w:rPr>
                <w:sz w:val="20"/>
                <w:szCs w:val="20"/>
              </w:rPr>
            </w:pPr>
            <w:r w:rsidRPr="00335726">
              <w:rPr>
                <w:sz w:val="20"/>
                <w:szCs w:val="20"/>
              </w:rPr>
              <w:t>Pose en terreplein (trottoir sans revêtement, ...)</w:t>
            </w:r>
          </w:p>
        </w:tc>
        <w:tc>
          <w:tcPr>
            <w:tcW w:w="567" w:type="dxa"/>
            <w:vAlign w:val="center"/>
          </w:tcPr>
          <w:p w:rsidR="00AD1EAD" w:rsidRPr="009056C1" w:rsidRDefault="00AD1EAD" w:rsidP="00AD1EAD">
            <w:pPr>
              <w:rPr>
                <w:sz w:val="20"/>
                <w:szCs w:val="20"/>
              </w:rPr>
            </w:pPr>
            <w:r w:rsidRPr="00335726">
              <w:rPr>
                <w:sz w:val="20"/>
                <w:szCs w:val="20"/>
              </w:rPr>
              <w:t>€/m</w:t>
            </w:r>
          </w:p>
        </w:tc>
        <w:tc>
          <w:tcPr>
            <w:tcW w:w="1167" w:type="dxa"/>
            <w:vAlign w:val="center"/>
          </w:tcPr>
          <w:p w:rsidR="00AD1EAD" w:rsidRPr="00AD1EAD" w:rsidRDefault="00AD1EAD" w:rsidP="00AD1EAD">
            <w:pPr>
              <w:jc w:val="right"/>
              <w:rPr>
                <w:sz w:val="20"/>
                <w:szCs w:val="20"/>
              </w:rPr>
            </w:pPr>
            <w:r w:rsidRPr="00AD1EAD">
              <w:rPr>
                <w:sz w:val="20"/>
                <w:szCs w:val="20"/>
              </w:rPr>
              <w:t>71,28</w:t>
            </w:r>
          </w:p>
        </w:tc>
      </w:tr>
      <w:tr w:rsidR="00AD1EAD" w:rsidRPr="009056C1" w:rsidTr="00C53D59">
        <w:trPr>
          <w:trHeight w:val="340"/>
        </w:trPr>
        <w:tc>
          <w:tcPr>
            <w:tcW w:w="7230" w:type="dxa"/>
            <w:vAlign w:val="center"/>
          </w:tcPr>
          <w:p w:rsidR="00AD1EAD" w:rsidRPr="00335726" w:rsidRDefault="00AD1EAD" w:rsidP="00AD1EAD">
            <w:pPr>
              <w:rPr>
                <w:sz w:val="20"/>
                <w:szCs w:val="20"/>
              </w:rPr>
            </w:pPr>
            <w:r w:rsidRPr="00335726">
              <w:rPr>
                <w:sz w:val="20"/>
                <w:szCs w:val="20"/>
              </w:rPr>
              <w:t>Revêtement standard - type trottoir</w:t>
            </w:r>
          </w:p>
        </w:tc>
        <w:tc>
          <w:tcPr>
            <w:tcW w:w="567" w:type="dxa"/>
            <w:vAlign w:val="center"/>
          </w:tcPr>
          <w:p w:rsidR="00AD1EAD" w:rsidRPr="009056C1" w:rsidRDefault="00AD1EAD" w:rsidP="00AD1EAD">
            <w:pPr>
              <w:rPr>
                <w:sz w:val="20"/>
                <w:szCs w:val="20"/>
              </w:rPr>
            </w:pPr>
            <w:r w:rsidRPr="00335726">
              <w:rPr>
                <w:sz w:val="20"/>
                <w:szCs w:val="20"/>
              </w:rPr>
              <w:t>€/m</w:t>
            </w:r>
          </w:p>
        </w:tc>
        <w:tc>
          <w:tcPr>
            <w:tcW w:w="1167" w:type="dxa"/>
            <w:vAlign w:val="center"/>
          </w:tcPr>
          <w:p w:rsidR="00AD1EAD" w:rsidRPr="00AD1EAD" w:rsidRDefault="00AD1EAD" w:rsidP="00AD1EAD">
            <w:pPr>
              <w:jc w:val="right"/>
              <w:rPr>
                <w:sz w:val="20"/>
                <w:szCs w:val="20"/>
              </w:rPr>
            </w:pPr>
            <w:r w:rsidRPr="00AD1EAD">
              <w:rPr>
                <w:sz w:val="20"/>
                <w:szCs w:val="20"/>
              </w:rPr>
              <w:t>47,86</w:t>
            </w:r>
          </w:p>
        </w:tc>
      </w:tr>
      <w:tr w:rsidR="00AD1EAD" w:rsidRPr="009056C1" w:rsidTr="00C53D59">
        <w:trPr>
          <w:trHeight w:val="340"/>
        </w:trPr>
        <w:tc>
          <w:tcPr>
            <w:tcW w:w="7230" w:type="dxa"/>
            <w:vAlign w:val="center"/>
          </w:tcPr>
          <w:p w:rsidR="00AD1EAD" w:rsidRPr="00335726" w:rsidRDefault="00AD1EAD" w:rsidP="00AD1EAD">
            <w:pPr>
              <w:rPr>
                <w:sz w:val="20"/>
                <w:szCs w:val="20"/>
              </w:rPr>
            </w:pPr>
            <w:r w:rsidRPr="00335726">
              <w:rPr>
                <w:sz w:val="20"/>
                <w:szCs w:val="20"/>
              </w:rPr>
              <w:t>Pose en voirie avec revêtement</w:t>
            </w:r>
          </w:p>
        </w:tc>
        <w:tc>
          <w:tcPr>
            <w:tcW w:w="567" w:type="dxa"/>
            <w:vAlign w:val="center"/>
          </w:tcPr>
          <w:p w:rsidR="00AD1EAD" w:rsidRPr="009056C1" w:rsidRDefault="00AD1EAD" w:rsidP="00AD1EAD">
            <w:pPr>
              <w:rPr>
                <w:sz w:val="20"/>
                <w:szCs w:val="20"/>
              </w:rPr>
            </w:pPr>
            <w:r w:rsidRPr="00335726">
              <w:rPr>
                <w:sz w:val="20"/>
                <w:szCs w:val="20"/>
              </w:rPr>
              <w:t>€/m</w:t>
            </w:r>
          </w:p>
        </w:tc>
        <w:tc>
          <w:tcPr>
            <w:tcW w:w="1167" w:type="dxa"/>
            <w:vAlign w:val="center"/>
          </w:tcPr>
          <w:p w:rsidR="00AD1EAD" w:rsidRPr="00AD1EAD" w:rsidRDefault="00AD1EAD" w:rsidP="00AD1EAD">
            <w:pPr>
              <w:jc w:val="right"/>
              <w:rPr>
                <w:sz w:val="20"/>
                <w:szCs w:val="20"/>
              </w:rPr>
            </w:pPr>
            <w:r w:rsidRPr="00AD1EAD">
              <w:rPr>
                <w:sz w:val="20"/>
                <w:szCs w:val="20"/>
              </w:rPr>
              <w:t>227,63</w:t>
            </w:r>
          </w:p>
        </w:tc>
      </w:tr>
      <w:tr w:rsidR="00AD1EAD" w:rsidRPr="009056C1" w:rsidTr="00C53D59">
        <w:trPr>
          <w:trHeight w:val="340"/>
        </w:trPr>
        <w:tc>
          <w:tcPr>
            <w:tcW w:w="7230" w:type="dxa"/>
            <w:vAlign w:val="center"/>
          </w:tcPr>
          <w:p w:rsidR="00AD1EAD" w:rsidRPr="00335726" w:rsidRDefault="00AD1EAD" w:rsidP="00AD1EAD">
            <w:pPr>
              <w:rPr>
                <w:sz w:val="20"/>
                <w:szCs w:val="20"/>
              </w:rPr>
            </w:pPr>
            <w:r w:rsidRPr="00335726">
              <w:rPr>
                <w:sz w:val="20"/>
                <w:szCs w:val="20"/>
              </w:rPr>
              <w:t>Pose en terrain privé, tranchée effectuée par URD</w:t>
            </w:r>
          </w:p>
        </w:tc>
        <w:tc>
          <w:tcPr>
            <w:tcW w:w="567" w:type="dxa"/>
            <w:vAlign w:val="center"/>
          </w:tcPr>
          <w:p w:rsidR="00AD1EAD" w:rsidRPr="009056C1" w:rsidRDefault="00AD1EAD" w:rsidP="00AD1EAD">
            <w:pPr>
              <w:rPr>
                <w:sz w:val="20"/>
                <w:szCs w:val="20"/>
              </w:rPr>
            </w:pPr>
            <w:r w:rsidRPr="00335726">
              <w:rPr>
                <w:sz w:val="20"/>
                <w:szCs w:val="20"/>
              </w:rPr>
              <w:t>€/m</w:t>
            </w:r>
          </w:p>
        </w:tc>
        <w:tc>
          <w:tcPr>
            <w:tcW w:w="1167" w:type="dxa"/>
            <w:vAlign w:val="center"/>
          </w:tcPr>
          <w:p w:rsidR="00AD1EAD" w:rsidRPr="00AD1EAD" w:rsidRDefault="00AD1EAD" w:rsidP="00AD1EAD">
            <w:pPr>
              <w:jc w:val="right"/>
              <w:rPr>
                <w:sz w:val="20"/>
                <w:szCs w:val="20"/>
              </w:rPr>
            </w:pPr>
            <w:r w:rsidRPr="00AD1EAD">
              <w:rPr>
                <w:sz w:val="20"/>
                <w:szCs w:val="20"/>
              </w:rPr>
              <w:t>31,91</w:t>
            </w:r>
          </w:p>
        </w:tc>
      </w:tr>
      <w:tr w:rsidR="00C315A1" w:rsidRPr="009056C1" w:rsidTr="00C53D59">
        <w:trPr>
          <w:trHeight w:val="340"/>
        </w:trPr>
        <w:tc>
          <w:tcPr>
            <w:tcW w:w="7230" w:type="dxa"/>
            <w:vAlign w:val="center"/>
          </w:tcPr>
          <w:p w:rsidR="00C315A1" w:rsidRPr="00335726" w:rsidRDefault="00C315A1" w:rsidP="00C315A1">
            <w:pPr>
              <w:rPr>
                <w:sz w:val="20"/>
                <w:szCs w:val="20"/>
              </w:rPr>
            </w:pPr>
            <w:r w:rsidRPr="00335726">
              <w:rPr>
                <w:sz w:val="20"/>
                <w:szCs w:val="20"/>
              </w:rPr>
              <w:t xml:space="preserve">Pose tuyau fer lisse </w:t>
            </w:r>
          </w:p>
        </w:tc>
        <w:tc>
          <w:tcPr>
            <w:tcW w:w="567" w:type="dxa"/>
            <w:vAlign w:val="center"/>
          </w:tcPr>
          <w:p w:rsidR="00C315A1" w:rsidRPr="009056C1" w:rsidRDefault="00C315A1" w:rsidP="00C315A1">
            <w:pPr>
              <w:rPr>
                <w:sz w:val="20"/>
                <w:szCs w:val="20"/>
              </w:rPr>
            </w:pPr>
            <w:r w:rsidRPr="00335726">
              <w:rPr>
                <w:sz w:val="20"/>
                <w:szCs w:val="20"/>
              </w:rPr>
              <w:t>€/m</w:t>
            </w:r>
          </w:p>
        </w:tc>
        <w:tc>
          <w:tcPr>
            <w:tcW w:w="1167" w:type="dxa"/>
            <w:vAlign w:val="center"/>
          </w:tcPr>
          <w:p w:rsidR="00C315A1" w:rsidRPr="00AD1EAD" w:rsidRDefault="00AD1EAD" w:rsidP="00AD1EAD">
            <w:pPr>
              <w:jc w:val="right"/>
              <w:rPr>
                <w:sz w:val="20"/>
                <w:szCs w:val="20"/>
              </w:rPr>
            </w:pPr>
            <w:r w:rsidRPr="00AD1EAD">
              <w:rPr>
                <w:sz w:val="20"/>
                <w:szCs w:val="20"/>
              </w:rPr>
              <w:t>38,29</w:t>
            </w:r>
          </w:p>
        </w:tc>
      </w:tr>
      <w:tr w:rsidR="00335726" w:rsidRPr="009056C1" w:rsidTr="00C53D59">
        <w:trPr>
          <w:trHeight w:val="340"/>
        </w:trPr>
        <w:tc>
          <w:tcPr>
            <w:tcW w:w="7230" w:type="dxa"/>
            <w:vAlign w:val="center"/>
          </w:tcPr>
          <w:p w:rsidR="00335726" w:rsidRPr="00335726" w:rsidRDefault="00335726" w:rsidP="00B3744E">
            <w:pPr>
              <w:rPr>
                <w:sz w:val="20"/>
                <w:szCs w:val="20"/>
              </w:rPr>
            </w:pPr>
            <w:r w:rsidRPr="00335726">
              <w:rPr>
                <w:sz w:val="20"/>
                <w:szCs w:val="20"/>
              </w:rPr>
              <w:t>Pose diamètre  &gt;  63mm ou &gt;  2''</w:t>
            </w:r>
          </w:p>
        </w:tc>
        <w:tc>
          <w:tcPr>
            <w:tcW w:w="567" w:type="dxa"/>
            <w:vAlign w:val="center"/>
          </w:tcPr>
          <w:p w:rsidR="00335726" w:rsidRPr="009056C1" w:rsidRDefault="00335726" w:rsidP="00B3744E">
            <w:pPr>
              <w:rPr>
                <w:sz w:val="20"/>
                <w:szCs w:val="20"/>
              </w:rPr>
            </w:pPr>
            <w:r w:rsidRPr="00335726">
              <w:rPr>
                <w:sz w:val="20"/>
                <w:szCs w:val="20"/>
              </w:rPr>
              <w:t>€/m</w:t>
            </w:r>
          </w:p>
        </w:tc>
        <w:tc>
          <w:tcPr>
            <w:tcW w:w="1167" w:type="dxa"/>
            <w:vAlign w:val="center"/>
          </w:tcPr>
          <w:p w:rsidR="00335726" w:rsidRPr="009056C1" w:rsidRDefault="00335726" w:rsidP="001676D7">
            <w:pPr>
              <w:jc w:val="right"/>
              <w:rPr>
                <w:sz w:val="20"/>
                <w:szCs w:val="20"/>
              </w:rPr>
            </w:pPr>
            <w:r>
              <w:rPr>
                <w:sz w:val="20"/>
                <w:szCs w:val="20"/>
              </w:rPr>
              <w:t>DEVIS</w:t>
            </w:r>
          </w:p>
        </w:tc>
      </w:tr>
      <w:tr w:rsidR="00AC38A9" w:rsidRPr="009056C1" w:rsidTr="005E10AE">
        <w:trPr>
          <w:trHeight w:val="340"/>
        </w:trPr>
        <w:tc>
          <w:tcPr>
            <w:tcW w:w="8964" w:type="dxa"/>
            <w:gridSpan w:val="3"/>
            <w:shd w:val="clear" w:color="auto" w:fill="D9E2F3" w:themeFill="accent5" w:themeFillTint="33"/>
            <w:vAlign w:val="center"/>
          </w:tcPr>
          <w:p w:rsidR="00AC38A9" w:rsidRPr="009056C1" w:rsidRDefault="00AC38A9" w:rsidP="00B3744E">
            <w:pPr>
              <w:rPr>
                <w:sz w:val="20"/>
                <w:szCs w:val="20"/>
              </w:rPr>
            </w:pPr>
            <w:r w:rsidRPr="009D6F04">
              <w:rPr>
                <w:b/>
                <w:sz w:val="28"/>
              </w:rPr>
              <w:t>Fourniture et placement d'armoires de protection pour l'extérieur</w:t>
            </w:r>
            <w:r w:rsidRPr="009D6F04">
              <w:rPr>
                <w:b/>
                <w:sz w:val="28"/>
              </w:rPr>
              <w:tab/>
            </w:r>
            <w:r w:rsidRPr="009D6F04">
              <w:rPr>
                <w:b/>
                <w:sz w:val="28"/>
              </w:rPr>
              <w:tab/>
            </w:r>
          </w:p>
        </w:tc>
      </w:tr>
      <w:tr w:rsidR="00AD1EAD" w:rsidRPr="00AC38A9" w:rsidTr="00C53D59">
        <w:trPr>
          <w:trHeight w:val="340"/>
        </w:trPr>
        <w:tc>
          <w:tcPr>
            <w:tcW w:w="7230" w:type="dxa"/>
            <w:vAlign w:val="center"/>
          </w:tcPr>
          <w:p w:rsidR="00AD1EAD" w:rsidRPr="00AC38A9" w:rsidRDefault="00AD1EAD" w:rsidP="00AD1EAD">
            <w:pPr>
              <w:rPr>
                <w:sz w:val="20"/>
                <w:szCs w:val="20"/>
              </w:rPr>
            </w:pPr>
            <w:r w:rsidRPr="00AC38A9">
              <w:rPr>
                <w:sz w:val="20"/>
                <w:szCs w:val="20"/>
              </w:rPr>
              <w:t>Coffret pour cpt G4 ou G6</w:t>
            </w:r>
          </w:p>
        </w:tc>
        <w:tc>
          <w:tcPr>
            <w:tcW w:w="567" w:type="dxa"/>
            <w:vAlign w:val="center"/>
          </w:tcPr>
          <w:p w:rsidR="00AD1EAD" w:rsidRPr="00AC38A9" w:rsidRDefault="00AD1EAD" w:rsidP="00AD1EAD">
            <w:pPr>
              <w:rPr>
                <w:sz w:val="20"/>
                <w:szCs w:val="20"/>
              </w:rPr>
            </w:pPr>
            <w:r w:rsidRPr="00AC38A9">
              <w:rPr>
                <w:sz w:val="20"/>
                <w:szCs w:val="20"/>
              </w:rPr>
              <w:t>€</w:t>
            </w:r>
          </w:p>
        </w:tc>
        <w:tc>
          <w:tcPr>
            <w:tcW w:w="1167" w:type="dxa"/>
            <w:vAlign w:val="center"/>
          </w:tcPr>
          <w:p w:rsidR="00AD1EAD" w:rsidRPr="00AD1EAD" w:rsidRDefault="00AD1EAD" w:rsidP="00AD1EAD">
            <w:pPr>
              <w:jc w:val="right"/>
              <w:rPr>
                <w:sz w:val="20"/>
                <w:szCs w:val="20"/>
              </w:rPr>
            </w:pPr>
            <w:r w:rsidRPr="00AD1EAD">
              <w:rPr>
                <w:sz w:val="20"/>
                <w:szCs w:val="20"/>
              </w:rPr>
              <w:t>335,07</w:t>
            </w:r>
          </w:p>
        </w:tc>
      </w:tr>
      <w:tr w:rsidR="00AD1EAD" w:rsidRPr="00AC38A9" w:rsidTr="00C53D59">
        <w:trPr>
          <w:trHeight w:val="340"/>
        </w:trPr>
        <w:tc>
          <w:tcPr>
            <w:tcW w:w="7230" w:type="dxa"/>
            <w:vAlign w:val="center"/>
          </w:tcPr>
          <w:p w:rsidR="00AD1EAD" w:rsidRPr="00AC38A9" w:rsidRDefault="00AD1EAD" w:rsidP="005101C7">
            <w:pPr>
              <w:rPr>
                <w:sz w:val="20"/>
                <w:szCs w:val="20"/>
              </w:rPr>
            </w:pPr>
            <w:r w:rsidRPr="00AC38A9">
              <w:rPr>
                <w:sz w:val="20"/>
                <w:szCs w:val="20"/>
              </w:rPr>
              <w:t>Armoire verticale pour 2 c</w:t>
            </w:r>
            <w:r w:rsidR="005101C7">
              <w:rPr>
                <w:sz w:val="20"/>
                <w:szCs w:val="20"/>
              </w:rPr>
              <w:t>pt</w:t>
            </w:r>
            <w:r w:rsidRPr="00AC38A9">
              <w:rPr>
                <w:sz w:val="20"/>
                <w:szCs w:val="20"/>
              </w:rPr>
              <w:t xml:space="preserve"> G4</w:t>
            </w:r>
          </w:p>
        </w:tc>
        <w:tc>
          <w:tcPr>
            <w:tcW w:w="567" w:type="dxa"/>
            <w:vAlign w:val="center"/>
          </w:tcPr>
          <w:p w:rsidR="00AD1EAD" w:rsidRPr="00AC38A9" w:rsidRDefault="00AD1EAD" w:rsidP="00AD1EAD">
            <w:pPr>
              <w:rPr>
                <w:sz w:val="20"/>
                <w:szCs w:val="20"/>
              </w:rPr>
            </w:pPr>
            <w:r w:rsidRPr="00AC38A9">
              <w:rPr>
                <w:sz w:val="20"/>
                <w:szCs w:val="20"/>
              </w:rPr>
              <w:t>€</w:t>
            </w:r>
          </w:p>
        </w:tc>
        <w:tc>
          <w:tcPr>
            <w:tcW w:w="1167" w:type="dxa"/>
            <w:vAlign w:val="center"/>
          </w:tcPr>
          <w:p w:rsidR="00AD1EAD" w:rsidRPr="00AD1EAD" w:rsidRDefault="00AD1EAD" w:rsidP="00AD1EAD">
            <w:pPr>
              <w:jc w:val="right"/>
              <w:rPr>
                <w:sz w:val="20"/>
                <w:szCs w:val="20"/>
              </w:rPr>
            </w:pPr>
            <w:r w:rsidRPr="00AD1EAD">
              <w:rPr>
                <w:sz w:val="20"/>
                <w:szCs w:val="20"/>
              </w:rPr>
              <w:t>1.289,23</w:t>
            </w:r>
          </w:p>
        </w:tc>
      </w:tr>
      <w:tr w:rsidR="00AD1EAD" w:rsidRPr="00AC38A9" w:rsidTr="00C53D59">
        <w:trPr>
          <w:trHeight w:val="340"/>
        </w:trPr>
        <w:tc>
          <w:tcPr>
            <w:tcW w:w="7230" w:type="dxa"/>
            <w:vAlign w:val="center"/>
          </w:tcPr>
          <w:p w:rsidR="00AD1EAD" w:rsidRPr="00AC38A9" w:rsidRDefault="00AD1EAD" w:rsidP="00AD1EAD">
            <w:pPr>
              <w:rPr>
                <w:sz w:val="20"/>
                <w:szCs w:val="20"/>
              </w:rPr>
            </w:pPr>
            <w:r w:rsidRPr="00AC38A9">
              <w:rPr>
                <w:sz w:val="20"/>
                <w:szCs w:val="20"/>
              </w:rPr>
              <w:t>Armoire pour cpt G16</w:t>
            </w:r>
          </w:p>
        </w:tc>
        <w:tc>
          <w:tcPr>
            <w:tcW w:w="567" w:type="dxa"/>
            <w:vAlign w:val="center"/>
          </w:tcPr>
          <w:p w:rsidR="00AD1EAD" w:rsidRPr="00AC38A9" w:rsidRDefault="00AD1EAD" w:rsidP="00AD1EAD">
            <w:pPr>
              <w:rPr>
                <w:sz w:val="20"/>
                <w:szCs w:val="20"/>
              </w:rPr>
            </w:pPr>
            <w:r w:rsidRPr="00AC38A9">
              <w:rPr>
                <w:sz w:val="20"/>
                <w:szCs w:val="20"/>
              </w:rPr>
              <w:t>€</w:t>
            </w:r>
          </w:p>
        </w:tc>
        <w:tc>
          <w:tcPr>
            <w:tcW w:w="1167" w:type="dxa"/>
            <w:vAlign w:val="center"/>
          </w:tcPr>
          <w:p w:rsidR="00AD1EAD" w:rsidRPr="00AD1EAD" w:rsidRDefault="00AD1EAD" w:rsidP="00AD1EAD">
            <w:pPr>
              <w:jc w:val="right"/>
              <w:rPr>
                <w:sz w:val="20"/>
                <w:szCs w:val="20"/>
              </w:rPr>
            </w:pPr>
            <w:r w:rsidRPr="00AD1EAD">
              <w:rPr>
                <w:sz w:val="20"/>
                <w:szCs w:val="20"/>
              </w:rPr>
              <w:t>1.202,00</w:t>
            </w:r>
          </w:p>
        </w:tc>
      </w:tr>
      <w:tr w:rsidR="00AD1EAD" w:rsidRPr="00AC38A9" w:rsidTr="00C53D59">
        <w:trPr>
          <w:trHeight w:val="340"/>
        </w:trPr>
        <w:tc>
          <w:tcPr>
            <w:tcW w:w="7230" w:type="dxa"/>
            <w:vAlign w:val="center"/>
          </w:tcPr>
          <w:p w:rsidR="00AD1EAD" w:rsidRPr="00AC38A9" w:rsidRDefault="00AD1EAD" w:rsidP="00AD1EAD">
            <w:pPr>
              <w:rPr>
                <w:sz w:val="20"/>
                <w:szCs w:val="20"/>
              </w:rPr>
            </w:pPr>
            <w:r w:rsidRPr="00AC38A9">
              <w:rPr>
                <w:sz w:val="20"/>
                <w:szCs w:val="20"/>
              </w:rPr>
              <w:t>Armoire pour cpt G25</w:t>
            </w:r>
          </w:p>
        </w:tc>
        <w:tc>
          <w:tcPr>
            <w:tcW w:w="567" w:type="dxa"/>
            <w:vAlign w:val="center"/>
          </w:tcPr>
          <w:p w:rsidR="00AD1EAD" w:rsidRPr="00AC38A9" w:rsidRDefault="00AD1EAD" w:rsidP="00AD1EAD">
            <w:pPr>
              <w:rPr>
                <w:sz w:val="20"/>
                <w:szCs w:val="20"/>
              </w:rPr>
            </w:pPr>
            <w:r w:rsidRPr="00AC38A9">
              <w:rPr>
                <w:sz w:val="20"/>
                <w:szCs w:val="20"/>
              </w:rPr>
              <w:t>€</w:t>
            </w:r>
          </w:p>
        </w:tc>
        <w:tc>
          <w:tcPr>
            <w:tcW w:w="1167" w:type="dxa"/>
            <w:vAlign w:val="center"/>
          </w:tcPr>
          <w:p w:rsidR="00AD1EAD" w:rsidRPr="00AD1EAD" w:rsidRDefault="00AD1EAD" w:rsidP="00AD1EAD">
            <w:pPr>
              <w:jc w:val="right"/>
              <w:rPr>
                <w:sz w:val="20"/>
                <w:szCs w:val="20"/>
              </w:rPr>
            </w:pPr>
            <w:r w:rsidRPr="00AD1EAD">
              <w:rPr>
                <w:sz w:val="20"/>
                <w:szCs w:val="20"/>
              </w:rPr>
              <w:t>1.627,49</w:t>
            </w:r>
          </w:p>
        </w:tc>
      </w:tr>
      <w:tr w:rsidR="009D6F04" w:rsidRPr="00AC38A9" w:rsidTr="00C53D59">
        <w:trPr>
          <w:trHeight w:val="340"/>
        </w:trPr>
        <w:tc>
          <w:tcPr>
            <w:tcW w:w="7230" w:type="dxa"/>
            <w:vAlign w:val="center"/>
          </w:tcPr>
          <w:p w:rsidR="009D6F04" w:rsidRPr="00AC38A9" w:rsidRDefault="009D6F04" w:rsidP="00B3744E">
            <w:pPr>
              <w:rPr>
                <w:sz w:val="20"/>
                <w:szCs w:val="20"/>
              </w:rPr>
            </w:pPr>
            <w:r w:rsidRPr="00AC38A9">
              <w:rPr>
                <w:sz w:val="20"/>
                <w:szCs w:val="20"/>
              </w:rPr>
              <w:t>Autres configurations</w:t>
            </w:r>
          </w:p>
        </w:tc>
        <w:tc>
          <w:tcPr>
            <w:tcW w:w="567" w:type="dxa"/>
            <w:vAlign w:val="center"/>
          </w:tcPr>
          <w:p w:rsidR="009D6F04" w:rsidRPr="00AC38A9" w:rsidRDefault="005101C7" w:rsidP="00B3744E">
            <w:pPr>
              <w:rPr>
                <w:sz w:val="20"/>
                <w:szCs w:val="20"/>
              </w:rPr>
            </w:pPr>
            <w:r w:rsidRPr="00AC38A9">
              <w:rPr>
                <w:sz w:val="20"/>
                <w:szCs w:val="20"/>
              </w:rPr>
              <w:t>€</w:t>
            </w:r>
          </w:p>
        </w:tc>
        <w:tc>
          <w:tcPr>
            <w:tcW w:w="1167" w:type="dxa"/>
            <w:vAlign w:val="center"/>
          </w:tcPr>
          <w:p w:rsidR="009D6F04" w:rsidRPr="00AC38A9" w:rsidRDefault="009D6F04" w:rsidP="001676D7">
            <w:pPr>
              <w:jc w:val="right"/>
              <w:rPr>
                <w:sz w:val="20"/>
                <w:szCs w:val="20"/>
              </w:rPr>
            </w:pPr>
            <w:r w:rsidRPr="00AC38A9">
              <w:rPr>
                <w:sz w:val="20"/>
                <w:szCs w:val="20"/>
              </w:rPr>
              <w:t>DEVIS</w:t>
            </w:r>
          </w:p>
        </w:tc>
      </w:tr>
      <w:tr w:rsidR="00AC38A9" w:rsidRPr="00D30980" w:rsidTr="005E10AE">
        <w:trPr>
          <w:trHeight w:val="340"/>
        </w:trPr>
        <w:tc>
          <w:tcPr>
            <w:tcW w:w="8964" w:type="dxa"/>
            <w:gridSpan w:val="3"/>
            <w:shd w:val="clear" w:color="auto" w:fill="D9E2F3" w:themeFill="accent5" w:themeFillTint="33"/>
            <w:vAlign w:val="center"/>
          </w:tcPr>
          <w:p w:rsidR="00AC38A9" w:rsidRPr="00D30980" w:rsidRDefault="00AC38A9" w:rsidP="00D30980">
            <w:pPr>
              <w:rPr>
                <w:sz w:val="20"/>
                <w:szCs w:val="20"/>
              </w:rPr>
            </w:pPr>
            <w:r w:rsidRPr="00AC38A9">
              <w:rPr>
                <w:b/>
                <w:sz w:val="28"/>
              </w:rPr>
              <w:t>Pose d'un compteur (sans vanne intérieure)</w:t>
            </w:r>
            <w:r w:rsidRPr="00AC38A9">
              <w:rPr>
                <w:b/>
                <w:sz w:val="28"/>
              </w:rPr>
              <w:tab/>
            </w:r>
            <w:r w:rsidRPr="00AC38A9">
              <w:rPr>
                <w:b/>
                <w:sz w:val="28"/>
              </w:rPr>
              <w:tab/>
            </w:r>
          </w:p>
        </w:tc>
      </w:tr>
      <w:tr w:rsidR="00AD1EAD" w:rsidRPr="00D30980" w:rsidTr="00C53D59">
        <w:trPr>
          <w:trHeight w:val="340"/>
        </w:trPr>
        <w:tc>
          <w:tcPr>
            <w:tcW w:w="7230" w:type="dxa"/>
            <w:vAlign w:val="center"/>
          </w:tcPr>
          <w:p w:rsidR="00AD1EAD" w:rsidRPr="00D30980" w:rsidRDefault="00AD1EAD" w:rsidP="00AD1EAD">
            <w:pPr>
              <w:rPr>
                <w:sz w:val="20"/>
                <w:szCs w:val="20"/>
              </w:rPr>
            </w:pPr>
            <w:r w:rsidRPr="00D30980">
              <w:rPr>
                <w:sz w:val="20"/>
                <w:szCs w:val="20"/>
              </w:rPr>
              <w:t>Forfait dossier de 1 à 5 compteurs</w:t>
            </w:r>
          </w:p>
        </w:tc>
        <w:tc>
          <w:tcPr>
            <w:tcW w:w="567" w:type="dxa"/>
            <w:vAlign w:val="center"/>
          </w:tcPr>
          <w:p w:rsidR="00AD1EAD" w:rsidRPr="00D30980" w:rsidRDefault="00AD1EAD" w:rsidP="00AD1EAD">
            <w:pPr>
              <w:rPr>
                <w:sz w:val="20"/>
                <w:szCs w:val="20"/>
              </w:rPr>
            </w:pPr>
            <w:r w:rsidRPr="00D30980">
              <w:rPr>
                <w:sz w:val="20"/>
                <w:szCs w:val="20"/>
              </w:rPr>
              <w:t>€</w:t>
            </w:r>
          </w:p>
        </w:tc>
        <w:tc>
          <w:tcPr>
            <w:tcW w:w="1167" w:type="dxa"/>
            <w:vAlign w:val="center"/>
          </w:tcPr>
          <w:p w:rsidR="00AD1EAD" w:rsidRPr="00AD1EAD" w:rsidRDefault="00AD1EAD" w:rsidP="00AD1EAD">
            <w:pPr>
              <w:jc w:val="right"/>
              <w:rPr>
                <w:sz w:val="20"/>
                <w:szCs w:val="20"/>
              </w:rPr>
            </w:pPr>
            <w:r w:rsidRPr="00AD1EAD">
              <w:rPr>
                <w:sz w:val="20"/>
                <w:szCs w:val="20"/>
              </w:rPr>
              <w:t>270,18</w:t>
            </w:r>
          </w:p>
        </w:tc>
      </w:tr>
      <w:tr w:rsidR="00AD1EAD" w:rsidRPr="00D30980" w:rsidTr="00C53D59">
        <w:trPr>
          <w:trHeight w:val="340"/>
        </w:trPr>
        <w:tc>
          <w:tcPr>
            <w:tcW w:w="7230" w:type="dxa"/>
            <w:vAlign w:val="center"/>
          </w:tcPr>
          <w:p w:rsidR="00AD1EAD" w:rsidRPr="00D30980" w:rsidRDefault="00AD1EAD" w:rsidP="00AD1EAD">
            <w:pPr>
              <w:rPr>
                <w:sz w:val="20"/>
                <w:szCs w:val="20"/>
              </w:rPr>
            </w:pPr>
            <w:r w:rsidRPr="00D30980">
              <w:rPr>
                <w:sz w:val="20"/>
                <w:szCs w:val="20"/>
              </w:rPr>
              <w:t>Forfait dossier + de 5 compteurs</w:t>
            </w:r>
          </w:p>
        </w:tc>
        <w:tc>
          <w:tcPr>
            <w:tcW w:w="567" w:type="dxa"/>
            <w:vAlign w:val="center"/>
          </w:tcPr>
          <w:p w:rsidR="00AD1EAD" w:rsidRPr="00D30980" w:rsidRDefault="00AD1EAD" w:rsidP="00AD1EAD">
            <w:pPr>
              <w:rPr>
                <w:sz w:val="20"/>
                <w:szCs w:val="20"/>
              </w:rPr>
            </w:pPr>
            <w:r w:rsidRPr="00D30980">
              <w:rPr>
                <w:sz w:val="20"/>
                <w:szCs w:val="20"/>
              </w:rPr>
              <w:t>€</w:t>
            </w:r>
          </w:p>
        </w:tc>
        <w:tc>
          <w:tcPr>
            <w:tcW w:w="1167" w:type="dxa"/>
            <w:vAlign w:val="center"/>
          </w:tcPr>
          <w:p w:rsidR="00AD1EAD" w:rsidRPr="00AD1EAD" w:rsidRDefault="00AD1EAD" w:rsidP="00AD1EAD">
            <w:pPr>
              <w:jc w:val="right"/>
              <w:rPr>
                <w:sz w:val="20"/>
                <w:szCs w:val="20"/>
              </w:rPr>
            </w:pPr>
            <w:r w:rsidRPr="00AD1EAD">
              <w:rPr>
                <w:sz w:val="20"/>
                <w:szCs w:val="20"/>
              </w:rPr>
              <w:t>937,14</w:t>
            </w:r>
          </w:p>
        </w:tc>
      </w:tr>
      <w:tr w:rsidR="00D30980" w:rsidRPr="00D30980" w:rsidTr="00C53D59">
        <w:trPr>
          <w:trHeight w:val="340"/>
        </w:trPr>
        <w:tc>
          <w:tcPr>
            <w:tcW w:w="7230" w:type="dxa"/>
            <w:vAlign w:val="center"/>
          </w:tcPr>
          <w:p w:rsidR="00D30980" w:rsidRPr="00D30980" w:rsidRDefault="00D30980" w:rsidP="00AC38A9">
            <w:pPr>
              <w:rPr>
                <w:sz w:val="20"/>
                <w:szCs w:val="20"/>
              </w:rPr>
            </w:pPr>
            <w:r w:rsidRPr="00D30980">
              <w:rPr>
                <w:sz w:val="20"/>
                <w:szCs w:val="20"/>
              </w:rPr>
              <w:t>Cpt G4 - G6 - G10</w:t>
            </w:r>
          </w:p>
        </w:tc>
        <w:tc>
          <w:tcPr>
            <w:tcW w:w="567" w:type="dxa"/>
            <w:vAlign w:val="center"/>
          </w:tcPr>
          <w:p w:rsidR="00D30980" w:rsidRPr="00D30980" w:rsidRDefault="00D30980" w:rsidP="00D30980">
            <w:pPr>
              <w:rPr>
                <w:sz w:val="20"/>
                <w:szCs w:val="20"/>
              </w:rPr>
            </w:pPr>
            <w:r w:rsidRPr="00D30980">
              <w:rPr>
                <w:sz w:val="20"/>
                <w:szCs w:val="20"/>
              </w:rPr>
              <w:t>€</w:t>
            </w:r>
          </w:p>
        </w:tc>
        <w:tc>
          <w:tcPr>
            <w:tcW w:w="1167" w:type="dxa"/>
            <w:vAlign w:val="center"/>
          </w:tcPr>
          <w:p w:rsidR="00D30980" w:rsidRPr="00AD1EAD" w:rsidRDefault="00AD1EAD" w:rsidP="00AD1EAD">
            <w:pPr>
              <w:jc w:val="right"/>
              <w:rPr>
                <w:sz w:val="20"/>
                <w:szCs w:val="20"/>
              </w:rPr>
            </w:pPr>
            <w:r w:rsidRPr="00AD1EAD">
              <w:rPr>
                <w:sz w:val="20"/>
                <w:szCs w:val="20"/>
              </w:rPr>
              <w:t>204,24</w:t>
            </w:r>
          </w:p>
        </w:tc>
      </w:tr>
      <w:tr w:rsidR="00AD1EAD" w:rsidRPr="00D30980" w:rsidTr="00C53D59">
        <w:trPr>
          <w:trHeight w:val="340"/>
        </w:trPr>
        <w:tc>
          <w:tcPr>
            <w:tcW w:w="7230" w:type="dxa"/>
            <w:vAlign w:val="center"/>
          </w:tcPr>
          <w:p w:rsidR="00AD1EAD" w:rsidRPr="00D30980" w:rsidRDefault="00AD1EAD" w:rsidP="00AD1EAD">
            <w:pPr>
              <w:rPr>
                <w:sz w:val="20"/>
                <w:szCs w:val="20"/>
              </w:rPr>
            </w:pPr>
            <w:r w:rsidRPr="00D30980">
              <w:rPr>
                <w:sz w:val="20"/>
                <w:szCs w:val="20"/>
              </w:rPr>
              <w:t>Cpt G16 - G25</w:t>
            </w:r>
          </w:p>
        </w:tc>
        <w:tc>
          <w:tcPr>
            <w:tcW w:w="567" w:type="dxa"/>
            <w:vAlign w:val="center"/>
          </w:tcPr>
          <w:p w:rsidR="00AD1EAD" w:rsidRPr="00D30980" w:rsidRDefault="00AD1EAD" w:rsidP="00AD1EAD">
            <w:pPr>
              <w:rPr>
                <w:sz w:val="20"/>
                <w:szCs w:val="20"/>
              </w:rPr>
            </w:pPr>
            <w:r w:rsidRPr="00D30980">
              <w:rPr>
                <w:sz w:val="20"/>
                <w:szCs w:val="20"/>
              </w:rPr>
              <w:t>€</w:t>
            </w:r>
          </w:p>
        </w:tc>
        <w:tc>
          <w:tcPr>
            <w:tcW w:w="1167" w:type="dxa"/>
            <w:vAlign w:val="center"/>
          </w:tcPr>
          <w:p w:rsidR="00AD1EAD" w:rsidRPr="00AD1EAD" w:rsidRDefault="00AD1EAD" w:rsidP="00AD1EAD">
            <w:pPr>
              <w:jc w:val="right"/>
              <w:rPr>
                <w:sz w:val="20"/>
                <w:szCs w:val="20"/>
              </w:rPr>
            </w:pPr>
            <w:r w:rsidRPr="00AD1EAD">
              <w:rPr>
                <w:sz w:val="20"/>
                <w:szCs w:val="20"/>
              </w:rPr>
              <w:t>442,51</w:t>
            </w:r>
          </w:p>
        </w:tc>
      </w:tr>
      <w:tr w:rsidR="00AD1EAD" w:rsidRPr="00D30980" w:rsidTr="005101C7">
        <w:trPr>
          <w:trHeight w:val="340"/>
        </w:trPr>
        <w:tc>
          <w:tcPr>
            <w:tcW w:w="7230" w:type="dxa"/>
            <w:vAlign w:val="center"/>
          </w:tcPr>
          <w:p w:rsidR="00AD1EAD" w:rsidRPr="00D30980" w:rsidRDefault="00AD1EAD" w:rsidP="00AD1EAD">
            <w:pPr>
              <w:rPr>
                <w:sz w:val="20"/>
                <w:szCs w:val="20"/>
              </w:rPr>
            </w:pPr>
            <w:r w:rsidRPr="00D30980">
              <w:rPr>
                <w:sz w:val="20"/>
                <w:szCs w:val="20"/>
              </w:rPr>
              <w:t>Cpt G40 - G65</w:t>
            </w:r>
          </w:p>
        </w:tc>
        <w:tc>
          <w:tcPr>
            <w:tcW w:w="567" w:type="dxa"/>
            <w:vAlign w:val="center"/>
          </w:tcPr>
          <w:p w:rsidR="00AD1EAD" w:rsidRPr="00D30980" w:rsidRDefault="00AD1EAD" w:rsidP="00AD1EAD">
            <w:pPr>
              <w:rPr>
                <w:sz w:val="20"/>
                <w:szCs w:val="20"/>
              </w:rPr>
            </w:pPr>
            <w:r w:rsidRPr="00D30980">
              <w:rPr>
                <w:sz w:val="20"/>
                <w:szCs w:val="20"/>
              </w:rPr>
              <w:t>€</w:t>
            </w:r>
          </w:p>
        </w:tc>
        <w:tc>
          <w:tcPr>
            <w:tcW w:w="1167" w:type="dxa"/>
            <w:vAlign w:val="center"/>
          </w:tcPr>
          <w:p w:rsidR="00AD1EAD" w:rsidRPr="00AD1EAD" w:rsidRDefault="00AD1EAD" w:rsidP="00AD1EAD">
            <w:pPr>
              <w:jc w:val="right"/>
              <w:rPr>
                <w:sz w:val="20"/>
                <w:szCs w:val="20"/>
              </w:rPr>
            </w:pPr>
            <w:r w:rsidRPr="00AD1EAD">
              <w:rPr>
                <w:sz w:val="20"/>
                <w:szCs w:val="20"/>
              </w:rPr>
              <w:t>766,94</w:t>
            </w:r>
          </w:p>
        </w:tc>
      </w:tr>
      <w:tr w:rsidR="00D30980" w:rsidRPr="00D30980" w:rsidTr="005101C7">
        <w:trPr>
          <w:trHeight w:val="340"/>
        </w:trPr>
        <w:tc>
          <w:tcPr>
            <w:tcW w:w="7230" w:type="dxa"/>
            <w:vAlign w:val="center"/>
          </w:tcPr>
          <w:p w:rsidR="00D30980" w:rsidRPr="00D30980" w:rsidRDefault="00D30980" w:rsidP="00AC38A9">
            <w:pPr>
              <w:rPr>
                <w:sz w:val="20"/>
                <w:szCs w:val="20"/>
              </w:rPr>
            </w:pPr>
            <w:r w:rsidRPr="00D30980">
              <w:rPr>
                <w:sz w:val="20"/>
                <w:szCs w:val="20"/>
              </w:rPr>
              <w:lastRenderedPageBreak/>
              <w:t>Cpt ≥ G100</w:t>
            </w:r>
          </w:p>
        </w:tc>
        <w:tc>
          <w:tcPr>
            <w:tcW w:w="567" w:type="dxa"/>
            <w:vAlign w:val="center"/>
          </w:tcPr>
          <w:p w:rsidR="00D30980" w:rsidRPr="00D30980" w:rsidRDefault="00D30980" w:rsidP="00D30980">
            <w:pPr>
              <w:rPr>
                <w:sz w:val="20"/>
                <w:szCs w:val="20"/>
              </w:rPr>
            </w:pPr>
            <w:r w:rsidRPr="00D30980">
              <w:rPr>
                <w:sz w:val="20"/>
                <w:szCs w:val="20"/>
              </w:rPr>
              <w:t>€</w:t>
            </w:r>
          </w:p>
        </w:tc>
        <w:tc>
          <w:tcPr>
            <w:tcW w:w="1167" w:type="dxa"/>
            <w:vAlign w:val="center"/>
          </w:tcPr>
          <w:p w:rsidR="00D30980" w:rsidRPr="00D30980" w:rsidRDefault="00AD1EAD" w:rsidP="009A77F7">
            <w:pPr>
              <w:jc w:val="right"/>
              <w:rPr>
                <w:sz w:val="20"/>
                <w:szCs w:val="20"/>
              </w:rPr>
            </w:pPr>
            <w:r w:rsidRPr="00AD1EAD">
              <w:rPr>
                <w:sz w:val="20"/>
                <w:szCs w:val="20"/>
              </w:rPr>
              <w:t>969,05</w:t>
            </w:r>
          </w:p>
        </w:tc>
      </w:tr>
      <w:tr w:rsidR="00D30980" w:rsidRPr="00D30980" w:rsidTr="005101C7">
        <w:trPr>
          <w:trHeight w:val="340"/>
        </w:trPr>
        <w:tc>
          <w:tcPr>
            <w:tcW w:w="7230" w:type="dxa"/>
            <w:vAlign w:val="center"/>
          </w:tcPr>
          <w:p w:rsidR="00D30980" w:rsidRPr="00D30980" w:rsidRDefault="00D30980" w:rsidP="00AC38A9">
            <w:pPr>
              <w:rPr>
                <w:sz w:val="20"/>
                <w:szCs w:val="20"/>
              </w:rPr>
            </w:pPr>
            <w:r w:rsidRPr="00D30980">
              <w:rPr>
                <w:sz w:val="20"/>
                <w:szCs w:val="20"/>
              </w:rPr>
              <w:t>Autres configurations</w:t>
            </w:r>
          </w:p>
        </w:tc>
        <w:tc>
          <w:tcPr>
            <w:tcW w:w="567" w:type="dxa"/>
            <w:vAlign w:val="center"/>
          </w:tcPr>
          <w:p w:rsidR="00D30980" w:rsidRPr="00D30980" w:rsidRDefault="00D30980" w:rsidP="00D30980">
            <w:pPr>
              <w:rPr>
                <w:sz w:val="20"/>
                <w:szCs w:val="20"/>
              </w:rPr>
            </w:pPr>
            <w:r w:rsidRPr="00D30980">
              <w:rPr>
                <w:sz w:val="20"/>
                <w:szCs w:val="20"/>
              </w:rPr>
              <w:t>€</w:t>
            </w:r>
          </w:p>
        </w:tc>
        <w:tc>
          <w:tcPr>
            <w:tcW w:w="1167" w:type="dxa"/>
            <w:vAlign w:val="center"/>
          </w:tcPr>
          <w:p w:rsidR="00D30980" w:rsidRPr="00D30980" w:rsidRDefault="00D30980" w:rsidP="006F5265">
            <w:pPr>
              <w:jc w:val="right"/>
              <w:rPr>
                <w:sz w:val="20"/>
                <w:szCs w:val="20"/>
              </w:rPr>
            </w:pPr>
            <w:r w:rsidRPr="00D30980">
              <w:rPr>
                <w:sz w:val="20"/>
                <w:szCs w:val="20"/>
              </w:rPr>
              <w:t>DEVIS</w:t>
            </w:r>
          </w:p>
        </w:tc>
      </w:tr>
      <w:tr w:rsidR="00AC38A9" w:rsidRPr="00D30980" w:rsidTr="005E10AE">
        <w:trPr>
          <w:trHeight w:val="340"/>
        </w:trPr>
        <w:tc>
          <w:tcPr>
            <w:tcW w:w="8964" w:type="dxa"/>
            <w:gridSpan w:val="3"/>
            <w:shd w:val="clear" w:color="auto" w:fill="D9E2F3" w:themeFill="accent5" w:themeFillTint="33"/>
            <w:vAlign w:val="center"/>
          </w:tcPr>
          <w:p w:rsidR="00AC38A9" w:rsidRPr="00D30980" w:rsidRDefault="00AC38A9" w:rsidP="00D30980">
            <w:pPr>
              <w:rPr>
                <w:sz w:val="20"/>
                <w:szCs w:val="20"/>
              </w:rPr>
            </w:pPr>
            <w:r w:rsidRPr="00AC38A9">
              <w:rPr>
                <w:b/>
                <w:sz w:val="28"/>
              </w:rPr>
              <w:t>Suppression de branchement</w:t>
            </w:r>
            <w:r w:rsidRPr="00AC38A9">
              <w:rPr>
                <w:b/>
                <w:sz w:val="28"/>
              </w:rPr>
              <w:tab/>
            </w:r>
            <w:r w:rsidRPr="00AC38A9">
              <w:rPr>
                <w:b/>
                <w:sz w:val="28"/>
              </w:rPr>
              <w:tab/>
            </w:r>
          </w:p>
        </w:tc>
      </w:tr>
      <w:tr w:rsidR="00CA499C" w:rsidRPr="00D30980" w:rsidTr="005101C7">
        <w:trPr>
          <w:trHeight w:val="340"/>
        </w:trPr>
        <w:tc>
          <w:tcPr>
            <w:tcW w:w="7230" w:type="dxa"/>
            <w:vAlign w:val="center"/>
          </w:tcPr>
          <w:p w:rsidR="00CA499C" w:rsidRPr="00D30980" w:rsidRDefault="00CA499C" w:rsidP="00CA499C">
            <w:pPr>
              <w:rPr>
                <w:sz w:val="20"/>
                <w:szCs w:val="20"/>
              </w:rPr>
            </w:pPr>
            <w:r w:rsidRPr="00D30980">
              <w:rPr>
                <w:sz w:val="20"/>
                <w:szCs w:val="20"/>
              </w:rPr>
              <w:t>Forfait dossier de 1 à 5 compteurs</w:t>
            </w:r>
          </w:p>
        </w:tc>
        <w:tc>
          <w:tcPr>
            <w:tcW w:w="567" w:type="dxa"/>
            <w:vAlign w:val="center"/>
          </w:tcPr>
          <w:p w:rsidR="00CA499C" w:rsidRPr="00D30980" w:rsidRDefault="00CA499C" w:rsidP="00CA499C">
            <w:pPr>
              <w:rPr>
                <w:sz w:val="20"/>
                <w:szCs w:val="20"/>
              </w:rPr>
            </w:pPr>
            <w:r>
              <w:rPr>
                <w:sz w:val="20"/>
                <w:szCs w:val="20"/>
              </w:rPr>
              <w:t>€</w:t>
            </w:r>
          </w:p>
        </w:tc>
        <w:tc>
          <w:tcPr>
            <w:tcW w:w="1167" w:type="dxa"/>
            <w:vAlign w:val="center"/>
          </w:tcPr>
          <w:p w:rsidR="00CA499C" w:rsidRPr="00CA499C" w:rsidRDefault="00CA499C" w:rsidP="00CA499C">
            <w:pPr>
              <w:jc w:val="right"/>
              <w:rPr>
                <w:sz w:val="20"/>
                <w:szCs w:val="20"/>
              </w:rPr>
            </w:pPr>
            <w:r w:rsidRPr="00CA499C">
              <w:rPr>
                <w:sz w:val="20"/>
                <w:szCs w:val="20"/>
              </w:rPr>
              <w:t>270,18</w:t>
            </w:r>
          </w:p>
        </w:tc>
      </w:tr>
      <w:tr w:rsidR="00CA499C" w:rsidRPr="00D30980" w:rsidTr="005101C7">
        <w:trPr>
          <w:trHeight w:val="340"/>
        </w:trPr>
        <w:tc>
          <w:tcPr>
            <w:tcW w:w="7230" w:type="dxa"/>
            <w:vAlign w:val="center"/>
          </w:tcPr>
          <w:p w:rsidR="00CA499C" w:rsidRPr="00D30980" w:rsidRDefault="00CA499C" w:rsidP="00CA499C">
            <w:pPr>
              <w:rPr>
                <w:sz w:val="20"/>
                <w:szCs w:val="20"/>
              </w:rPr>
            </w:pPr>
            <w:r w:rsidRPr="00D30980">
              <w:rPr>
                <w:sz w:val="20"/>
                <w:szCs w:val="20"/>
              </w:rPr>
              <w:t>Forfait dossier + de 5 compteurs</w:t>
            </w:r>
          </w:p>
        </w:tc>
        <w:tc>
          <w:tcPr>
            <w:tcW w:w="567" w:type="dxa"/>
            <w:vAlign w:val="center"/>
          </w:tcPr>
          <w:p w:rsidR="00CA499C" w:rsidRPr="00D30980" w:rsidRDefault="00CA499C" w:rsidP="00CA499C">
            <w:pPr>
              <w:rPr>
                <w:sz w:val="20"/>
                <w:szCs w:val="20"/>
              </w:rPr>
            </w:pPr>
            <w:r>
              <w:rPr>
                <w:sz w:val="20"/>
                <w:szCs w:val="20"/>
              </w:rPr>
              <w:t>€</w:t>
            </w:r>
          </w:p>
        </w:tc>
        <w:tc>
          <w:tcPr>
            <w:tcW w:w="1167" w:type="dxa"/>
            <w:vAlign w:val="center"/>
          </w:tcPr>
          <w:p w:rsidR="00CA499C" w:rsidRPr="00CA499C" w:rsidRDefault="00CA499C" w:rsidP="00CA499C">
            <w:pPr>
              <w:jc w:val="right"/>
              <w:rPr>
                <w:sz w:val="20"/>
                <w:szCs w:val="20"/>
              </w:rPr>
            </w:pPr>
            <w:r w:rsidRPr="00CA499C">
              <w:rPr>
                <w:sz w:val="20"/>
                <w:szCs w:val="20"/>
              </w:rPr>
              <w:t>937,14</w:t>
            </w:r>
          </w:p>
        </w:tc>
      </w:tr>
      <w:tr w:rsidR="00CA499C" w:rsidRPr="00D30980" w:rsidTr="005101C7">
        <w:trPr>
          <w:trHeight w:val="340"/>
        </w:trPr>
        <w:tc>
          <w:tcPr>
            <w:tcW w:w="7230" w:type="dxa"/>
            <w:vAlign w:val="center"/>
          </w:tcPr>
          <w:p w:rsidR="00CA499C" w:rsidRPr="00D30980" w:rsidRDefault="00CA499C" w:rsidP="00CA499C">
            <w:pPr>
              <w:rPr>
                <w:sz w:val="20"/>
                <w:szCs w:val="20"/>
              </w:rPr>
            </w:pPr>
            <w:r w:rsidRPr="00D30980">
              <w:rPr>
                <w:sz w:val="20"/>
                <w:szCs w:val="20"/>
              </w:rPr>
              <w:t>Suppression de branchement sans enlèvement de compteur ≤ 2" ou ≤ 63 mm</w:t>
            </w:r>
          </w:p>
        </w:tc>
        <w:tc>
          <w:tcPr>
            <w:tcW w:w="567" w:type="dxa"/>
            <w:vAlign w:val="center"/>
          </w:tcPr>
          <w:p w:rsidR="00CA499C" w:rsidRPr="00D30980" w:rsidRDefault="00CA499C" w:rsidP="00CA499C">
            <w:pPr>
              <w:rPr>
                <w:sz w:val="20"/>
                <w:szCs w:val="20"/>
              </w:rPr>
            </w:pPr>
            <w:r>
              <w:rPr>
                <w:sz w:val="20"/>
                <w:szCs w:val="20"/>
              </w:rPr>
              <w:t>€</w:t>
            </w:r>
          </w:p>
        </w:tc>
        <w:tc>
          <w:tcPr>
            <w:tcW w:w="1167" w:type="dxa"/>
            <w:vAlign w:val="center"/>
          </w:tcPr>
          <w:p w:rsidR="00CA499C" w:rsidRPr="00CA499C" w:rsidRDefault="00CA499C" w:rsidP="00CA499C">
            <w:pPr>
              <w:jc w:val="right"/>
              <w:rPr>
                <w:sz w:val="20"/>
                <w:szCs w:val="20"/>
              </w:rPr>
            </w:pPr>
            <w:r w:rsidRPr="00CA499C">
              <w:rPr>
                <w:sz w:val="20"/>
                <w:szCs w:val="20"/>
              </w:rPr>
              <w:t>1.146,68</w:t>
            </w:r>
          </w:p>
        </w:tc>
      </w:tr>
      <w:tr w:rsidR="00CA499C" w:rsidRPr="00D30980" w:rsidTr="005101C7">
        <w:trPr>
          <w:trHeight w:val="340"/>
        </w:trPr>
        <w:tc>
          <w:tcPr>
            <w:tcW w:w="7230" w:type="dxa"/>
            <w:vAlign w:val="center"/>
          </w:tcPr>
          <w:p w:rsidR="00CA499C" w:rsidRPr="00D30980" w:rsidRDefault="00CA499C" w:rsidP="00CA499C">
            <w:pPr>
              <w:rPr>
                <w:sz w:val="20"/>
                <w:szCs w:val="20"/>
              </w:rPr>
            </w:pPr>
            <w:r w:rsidRPr="00D30980">
              <w:rPr>
                <w:sz w:val="20"/>
                <w:szCs w:val="20"/>
              </w:rPr>
              <w:t>Suppression de branchement sans enlèvement de compteur &gt; 2" ou &gt; 63 mm</w:t>
            </w:r>
          </w:p>
        </w:tc>
        <w:tc>
          <w:tcPr>
            <w:tcW w:w="567" w:type="dxa"/>
            <w:vAlign w:val="center"/>
          </w:tcPr>
          <w:p w:rsidR="00CA499C" w:rsidRPr="00D30980" w:rsidRDefault="00CA499C" w:rsidP="00CA499C">
            <w:pPr>
              <w:rPr>
                <w:sz w:val="20"/>
                <w:szCs w:val="20"/>
              </w:rPr>
            </w:pPr>
            <w:r>
              <w:rPr>
                <w:sz w:val="20"/>
                <w:szCs w:val="20"/>
              </w:rPr>
              <w:t>€</w:t>
            </w:r>
          </w:p>
        </w:tc>
        <w:tc>
          <w:tcPr>
            <w:tcW w:w="1167" w:type="dxa"/>
            <w:vAlign w:val="center"/>
          </w:tcPr>
          <w:p w:rsidR="00CA499C" w:rsidRPr="00CA499C" w:rsidRDefault="00CA499C" w:rsidP="00CA499C">
            <w:pPr>
              <w:jc w:val="right"/>
              <w:rPr>
                <w:sz w:val="20"/>
                <w:szCs w:val="20"/>
              </w:rPr>
            </w:pPr>
            <w:r w:rsidRPr="00CA499C">
              <w:rPr>
                <w:sz w:val="20"/>
                <w:szCs w:val="20"/>
              </w:rPr>
              <w:t>3.325,18</w:t>
            </w:r>
          </w:p>
        </w:tc>
      </w:tr>
      <w:tr w:rsidR="00CA499C" w:rsidRPr="00D30980" w:rsidTr="005101C7">
        <w:trPr>
          <w:trHeight w:val="340"/>
        </w:trPr>
        <w:tc>
          <w:tcPr>
            <w:tcW w:w="7230" w:type="dxa"/>
            <w:vAlign w:val="center"/>
          </w:tcPr>
          <w:p w:rsidR="00CA499C" w:rsidRPr="00D30980" w:rsidRDefault="00CA499C" w:rsidP="00CA499C">
            <w:pPr>
              <w:rPr>
                <w:sz w:val="20"/>
                <w:szCs w:val="20"/>
              </w:rPr>
            </w:pPr>
            <w:r w:rsidRPr="00D30980">
              <w:rPr>
                <w:sz w:val="20"/>
                <w:szCs w:val="20"/>
              </w:rPr>
              <w:t>Enlèvement de compteur G4 - G6 - G10</w:t>
            </w:r>
          </w:p>
        </w:tc>
        <w:tc>
          <w:tcPr>
            <w:tcW w:w="567" w:type="dxa"/>
            <w:vAlign w:val="center"/>
          </w:tcPr>
          <w:p w:rsidR="00CA499C" w:rsidRPr="00D30980" w:rsidRDefault="00CA499C" w:rsidP="00CA499C">
            <w:pPr>
              <w:rPr>
                <w:sz w:val="20"/>
                <w:szCs w:val="20"/>
              </w:rPr>
            </w:pPr>
            <w:r>
              <w:rPr>
                <w:sz w:val="20"/>
                <w:szCs w:val="20"/>
              </w:rPr>
              <w:t>€</w:t>
            </w:r>
          </w:p>
        </w:tc>
        <w:tc>
          <w:tcPr>
            <w:tcW w:w="1167" w:type="dxa"/>
            <w:vAlign w:val="center"/>
          </w:tcPr>
          <w:p w:rsidR="00CA499C" w:rsidRPr="00CA499C" w:rsidRDefault="00CA499C" w:rsidP="00CA499C">
            <w:pPr>
              <w:jc w:val="right"/>
              <w:rPr>
                <w:sz w:val="20"/>
                <w:szCs w:val="20"/>
              </w:rPr>
            </w:pPr>
            <w:r w:rsidRPr="00CA499C">
              <w:rPr>
                <w:sz w:val="20"/>
                <w:szCs w:val="20"/>
              </w:rPr>
              <w:t>261,67</w:t>
            </w:r>
          </w:p>
        </w:tc>
      </w:tr>
      <w:tr w:rsidR="00CA499C" w:rsidRPr="00D30980" w:rsidTr="005101C7">
        <w:trPr>
          <w:trHeight w:val="340"/>
        </w:trPr>
        <w:tc>
          <w:tcPr>
            <w:tcW w:w="7230" w:type="dxa"/>
            <w:vAlign w:val="center"/>
          </w:tcPr>
          <w:p w:rsidR="00CA499C" w:rsidRPr="00D30980" w:rsidRDefault="00CA499C" w:rsidP="00CA499C">
            <w:pPr>
              <w:rPr>
                <w:sz w:val="20"/>
                <w:szCs w:val="20"/>
              </w:rPr>
            </w:pPr>
            <w:r w:rsidRPr="00D30980">
              <w:rPr>
                <w:sz w:val="20"/>
                <w:szCs w:val="20"/>
              </w:rPr>
              <w:t>Enlèvement de compteur G16 - G25</w:t>
            </w:r>
          </w:p>
        </w:tc>
        <w:tc>
          <w:tcPr>
            <w:tcW w:w="567" w:type="dxa"/>
            <w:vAlign w:val="center"/>
          </w:tcPr>
          <w:p w:rsidR="00CA499C" w:rsidRPr="00D30980" w:rsidRDefault="00CA499C" w:rsidP="00CA499C">
            <w:pPr>
              <w:rPr>
                <w:sz w:val="20"/>
                <w:szCs w:val="20"/>
              </w:rPr>
            </w:pPr>
            <w:r>
              <w:rPr>
                <w:sz w:val="20"/>
                <w:szCs w:val="20"/>
              </w:rPr>
              <w:t>€</w:t>
            </w:r>
          </w:p>
        </w:tc>
        <w:tc>
          <w:tcPr>
            <w:tcW w:w="1167" w:type="dxa"/>
            <w:vAlign w:val="center"/>
          </w:tcPr>
          <w:p w:rsidR="00CA499C" w:rsidRPr="00CA499C" w:rsidRDefault="00CA499C" w:rsidP="00CA499C">
            <w:pPr>
              <w:jc w:val="right"/>
              <w:rPr>
                <w:sz w:val="20"/>
                <w:szCs w:val="20"/>
              </w:rPr>
            </w:pPr>
            <w:r w:rsidRPr="00CA499C">
              <w:rPr>
                <w:sz w:val="20"/>
                <w:szCs w:val="20"/>
              </w:rPr>
              <w:t>302,09</w:t>
            </w:r>
          </w:p>
        </w:tc>
      </w:tr>
      <w:tr w:rsidR="00CA499C" w:rsidRPr="00D30980" w:rsidTr="005101C7">
        <w:trPr>
          <w:trHeight w:val="340"/>
        </w:trPr>
        <w:tc>
          <w:tcPr>
            <w:tcW w:w="7230" w:type="dxa"/>
            <w:vAlign w:val="center"/>
          </w:tcPr>
          <w:p w:rsidR="00CA499C" w:rsidRPr="00D30980" w:rsidRDefault="00CA499C" w:rsidP="00CA499C">
            <w:pPr>
              <w:rPr>
                <w:sz w:val="20"/>
                <w:szCs w:val="20"/>
              </w:rPr>
            </w:pPr>
            <w:r w:rsidRPr="00D30980">
              <w:rPr>
                <w:sz w:val="20"/>
                <w:szCs w:val="20"/>
              </w:rPr>
              <w:t>Enlèvement de compteur ≥ G40</w:t>
            </w:r>
          </w:p>
        </w:tc>
        <w:tc>
          <w:tcPr>
            <w:tcW w:w="567" w:type="dxa"/>
            <w:vAlign w:val="center"/>
          </w:tcPr>
          <w:p w:rsidR="00CA499C" w:rsidRPr="00D30980" w:rsidRDefault="00CA499C" w:rsidP="00CA499C">
            <w:pPr>
              <w:rPr>
                <w:sz w:val="20"/>
                <w:szCs w:val="20"/>
              </w:rPr>
            </w:pPr>
            <w:r>
              <w:rPr>
                <w:sz w:val="20"/>
                <w:szCs w:val="20"/>
              </w:rPr>
              <w:t>€</w:t>
            </w:r>
          </w:p>
        </w:tc>
        <w:tc>
          <w:tcPr>
            <w:tcW w:w="1167" w:type="dxa"/>
            <w:vAlign w:val="center"/>
          </w:tcPr>
          <w:p w:rsidR="00CA499C" w:rsidRPr="00CA499C" w:rsidRDefault="00CA499C" w:rsidP="00CA499C">
            <w:pPr>
              <w:jc w:val="right"/>
              <w:rPr>
                <w:sz w:val="20"/>
                <w:szCs w:val="20"/>
              </w:rPr>
            </w:pPr>
            <w:r w:rsidRPr="00CA499C">
              <w:rPr>
                <w:sz w:val="20"/>
                <w:szCs w:val="20"/>
              </w:rPr>
              <w:t>504,21</w:t>
            </w:r>
          </w:p>
        </w:tc>
      </w:tr>
      <w:tr w:rsidR="00AC38A9" w:rsidRPr="00D30980" w:rsidTr="005E10AE">
        <w:trPr>
          <w:trHeight w:val="340"/>
        </w:trPr>
        <w:tc>
          <w:tcPr>
            <w:tcW w:w="8964" w:type="dxa"/>
            <w:gridSpan w:val="3"/>
            <w:shd w:val="clear" w:color="auto" w:fill="D9E2F3" w:themeFill="accent5" w:themeFillTint="33"/>
            <w:vAlign w:val="center"/>
          </w:tcPr>
          <w:p w:rsidR="00AC38A9" w:rsidRDefault="00AC38A9" w:rsidP="00AC38A9">
            <w:pPr>
              <w:rPr>
                <w:b/>
                <w:sz w:val="28"/>
              </w:rPr>
            </w:pPr>
            <w:r w:rsidRPr="00AC38A9">
              <w:rPr>
                <w:b/>
                <w:sz w:val="28"/>
              </w:rPr>
              <w:t xml:space="preserve">Dépose ou Repose </w:t>
            </w:r>
          </w:p>
          <w:p w:rsidR="00AC38A9" w:rsidRPr="00D30980" w:rsidRDefault="00AC38A9" w:rsidP="00D30980">
            <w:pPr>
              <w:rPr>
                <w:sz w:val="20"/>
                <w:szCs w:val="20"/>
              </w:rPr>
            </w:pPr>
            <w:r w:rsidRPr="00AC38A9">
              <w:rPr>
                <w:b/>
              </w:rPr>
              <w:t>(du même compteur existant)  (</w:t>
            </w:r>
            <w:proofErr w:type="spellStart"/>
            <w:r w:rsidRPr="00AC38A9">
              <w:rPr>
                <w:b/>
              </w:rPr>
              <w:t>tjs</w:t>
            </w:r>
            <w:proofErr w:type="spellEnd"/>
            <w:r w:rsidRPr="00AC38A9">
              <w:rPr>
                <w:b/>
              </w:rPr>
              <w:t xml:space="preserve"> associé à autre intervention de pose)</w:t>
            </w:r>
          </w:p>
        </w:tc>
      </w:tr>
      <w:tr w:rsidR="00CA499C" w:rsidRPr="00D30980" w:rsidTr="005101C7">
        <w:trPr>
          <w:trHeight w:val="340"/>
        </w:trPr>
        <w:tc>
          <w:tcPr>
            <w:tcW w:w="7230" w:type="dxa"/>
            <w:vAlign w:val="center"/>
          </w:tcPr>
          <w:p w:rsidR="00CA499C" w:rsidRPr="00D30980" w:rsidRDefault="00CA499C" w:rsidP="00CA499C">
            <w:pPr>
              <w:rPr>
                <w:sz w:val="20"/>
                <w:szCs w:val="20"/>
              </w:rPr>
            </w:pPr>
            <w:r w:rsidRPr="00D30980">
              <w:rPr>
                <w:sz w:val="20"/>
                <w:szCs w:val="20"/>
              </w:rPr>
              <w:t>G4 - G6 - G10</w:t>
            </w:r>
          </w:p>
        </w:tc>
        <w:tc>
          <w:tcPr>
            <w:tcW w:w="567" w:type="dxa"/>
            <w:vAlign w:val="center"/>
          </w:tcPr>
          <w:p w:rsidR="00CA499C" w:rsidRPr="00D30980" w:rsidRDefault="00CA499C" w:rsidP="00CA499C">
            <w:pPr>
              <w:rPr>
                <w:sz w:val="20"/>
                <w:szCs w:val="20"/>
              </w:rPr>
            </w:pPr>
            <w:r>
              <w:rPr>
                <w:sz w:val="20"/>
                <w:szCs w:val="20"/>
              </w:rPr>
              <w:t>€</w:t>
            </w:r>
          </w:p>
        </w:tc>
        <w:tc>
          <w:tcPr>
            <w:tcW w:w="1167" w:type="dxa"/>
            <w:vAlign w:val="center"/>
          </w:tcPr>
          <w:p w:rsidR="00CA499C" w:rsidRPr="00CA499C" w:rsidRDefault="00CA499C" w:rsidP="00CA499C">
            <w:pPr>
              <w:jc w:val="right"/>
              <w:rPr>
                <w:sz w:val="20"/>
                <w:szCs w:val="20"/>
              </w:rPr>
            </w:pPr>
            <w:r w:rsidRPr="00CA499C">
              <w:rPr>
                <w:sz w:val="20"/>
                <w:szCs w:val="20"/>
              </w:rPr>
              <w:t>40,43</w:t>
            </w:r>
          </w:p>
        </w:tc>
      </w:tr>
      <w:tr w:rsidR="00CA499C" w:rsidRPr="00D30980" w:rsidTr="005101C7">
        <w:trPr>
          <w:trHeight w:val="340"/>
        </w:trPr>
        <w:tc>
          <w:tcPr>
            <w:tcW w:w="7230" w:type="dxa"/>
            <w:vAlign w:val="center"/>
          </w:tcPr>
          <w:p w:rsidR="00CA499C" w:rsidRPr="00D30980" w:rsidRDefault="00CA499C" w:rsidP="00CA499C">
            <w:pPr>
              <w:rPr>
                <w:sz w:val="20"/>
                <w:szCs w:val="20"/>
              </w:rPr>
            </w:pPr>
            <w:r w:rsidRPr="00D30980">
              <w:rPr>
                <w:sz w:val="20"/>
                <w:szCs w:val="20"/>
              </w:rPr>
              <w:t>G16 - G25</w:t>
            </w:r>
          </w:p>
        </w:tc>
        <w:tc>
          <w:tcPr>
            <w:tcW w:w="567" w:type="dxa"/>
            <w:vAlign w:val="center"/>
          </w:tcPr>
          <w:p w:rsidR="00CA499C" w:rsidRPr="00D30980" w:rsidRDefault="00CA499C" w:rsidP="00CA499C">
            <w:pPr>
              <w:rPr>
                <w:sz w:val="20"/>
                <w:szCs w:val="20"/>
              </w:rPr>
            </w:pPr>
            <w:r>
              <w:rPr>
                <w:sz w:val="20"/>
                <w:szCs w:val="20"/>
              </w:rPr>
              <w:t>€</w:t>
            </w:r>
          </w:p>
        </w:tc>
        <w:tc>
          <w:tcPr>
            <w:tcW w:w="1167" w:type="dxa"/>
            <w:vAlign w:val="center"/>
          </w:tcPr>
          <w:p w:rsidR="00CA499C" w:rsidRPr="00CA499C" w:rsidRDefault="00CA499C" w:rsidP="00CA499C">
            <w:pPr>
              <w:jc w:val="right"/>
              <w:rPr>
                <w:sz w:val="20"/>
                <w:szCs w:val="20"/>
              </w:rPr>
            </w:pPr>
            <w:r w:rsidRPr="00CA499C">
              <w:rPr>
                <w:sz w:val="20"/>
                <w:szCs w:val="20"/>
              </w:rPr>
              <w:t>80,83</w:t>
            </w:r>
          </w:p>
        </w:tc>
      </w:tr>
      <w:tr w:rsidR="00CA499C" w:rsidRPr="00D30980" w:rsidTr="005101C7">
        <w:trPr>
          <w:trHeight w:val="340"/>
        </w:trPr>
        <w:tc>
          <w:tcPr>
            <w:tcW w:w="7230" w:type="dxa"/>
            <w:vAlign w:val="center"/>
          </w:tcPr>
          <w:p w:rsidR="00CA499C" w:rsidRPr="00D30980" w:rsidRDefault="00CA499C" w:rsidP="00CA499C">
            <w:pPr>
              <w:rPr>
                <w:sz w:val="20"/>
                <w:szCs w:val="20"/>
              </w:rPr>
            </w:pPr>
            <w:r w:rsidRPr="00D30980">
              <w:rPr>
                <w:sz w:val="20"/>
                <w:szCs w:val="20"/>
              </w:rPr>
              <w:t>G40 - G65</w:t>
            </w:r>
          </w:p>
        </w:tc>
        <w:tc>
          <w:tcPr>
            <w:tcW w:w="567" w:type="dxa"/>
            <w:vAlign w:val="center"/>
          </w:tcPr>
          <w:p w:rsidR="00CA499C" w:rsidRPr="00D30980" w:rsidRDefault="00CA499C" w:rsidP="00CA499C">
            <w:pPr>
              <w:rPr>
                <w:sz w:val="20"/>
                <w:szCs w:val="20"/>
              </w:rPr>
            </w:pPr>
            <w:r>
              <w:rPr>
                <w:sz w:val="20"/>
                <w:szCs w:val="20"/>
              </w:rPr>
              <w:t>€</w:t>
            </w:r>
          </w:p>
        </w:tc>
        <w:tc>
          <w:tcPr>
            <w:tcW w:w="1167" w:type="dxa"/>
            <w:vAlign w:val="center"/>
          </w:tcPr>
          <w:p w:rsidR="00CA499C" w:rsidRPr="00CA499C" w:rsidRDefault="00CA499C" w:rsidP="00CA499C">
            <w:pPr>
              <w:jc w:val="right"/>
              <w:rPr>
                <w:sz w:val="20"/>
                <w:szCs w:val="20"/>
              </w:rPr>
            </w:pPr>
            <w:r w:rsidRPr="00CA499C">
              <w:rPr>
                <w:sz w:val="20"/>
                <w:szCs w:val="20"/>
              </w:rPr>
              <w:t>323,37</w:t>
            </w:r>
          </w:p>
        </w:tc>
      </w:tr>
      <w:tr w:rsidR="00D30980" w:rsidRPr="00D30980" w:rsidTr="005101C7">
        <w:trPr>
          <w:trHeight w:val="340"/>
        </w:trPr>
        <w:tc>
          <w:tcPr>
            <w:tcW w:w="7230" w:type="dxa"/>
            <w:vAlign w:val="center"/>
          </w:tcPr>
          <w:p w:rsidR="00D30980" w:rsidRPr="00D30980" w:rsidRDefault="00D30980" w:rsidP="00AC38A9">
            <w:pPr>
              <w:rPr>
                <w:sz w:val="20"/>
                <w:szCs w:val="20"/>
              </w:rPr>
            </w:pPr>
            <w:r w:rsidRPr="00D30980">
              <w:rPr>
                <w:sz w:val="20"/>
                <w:szCs w:val="20"/>
              </w:rPr>
              <w:t>≥ G100</w:t>
            </w:r>
          </w:p>
        </w:tc>
        <w:tc>
          <w:tcPr>
            <w:tcW w:w="567" w:type="dxa"/>
            <w:vAlign w:val="center"/>
          </w:tcPr>
          <w:p w:rsidR="00D30980" w:rsidRPr="00D30980" w:rsidRDefault="000D2537" w:rsidP="00D30980">
            <w:pPr>
              <w:rPr>
                <w:sz w:val="20"/>
                <w:szCs w:val="20"/>
              </w:rPr>
            </w:pPr>
            <w:r>
              <w:rPr>
                <w:sz w:val="20"/>
                <w:szCs w:val="20"/>
              </w:rPr>
              <w:t>€</w:t>
            </w:r>
          </w:p>
        </w:tc>
        <w:tc>
          <w:tcPr>
            <w:tcW w:w="1167" w:type="dxa"/>
            <w:vAlign w:val="center"/>
          </w:tcPr>
          <w:p w:rsidR="00D30980" w:rsidRPr="00D30980" w:rsidRDefault="00D30980" w:rsidP="001676D7">
            <w:pPr>
              <w:jc w:val="right"/>
              <w:rPr>
                <w:sz w:val="20"/>
                <w:szCs w:val="20"/>
              </w:rPr>
            </w:pPr>
            <w:r w:rsidRPr="00D30980">
              <w:rPr>
                <w:sz w:val="20"/>
                <w:szCs w:val="20"/>
              </w:rPr>
              <w:t>DEVIS</w:t>
            </w:r>
          </w:p>
        </w:tc>
      </w:tr>
      <w:tr w:rsidR="00AC38A9" w:rsidRPr="00D30980" w:rsidTr="005E10AE">
        <w:trPr>
          <w:trHeight w:val="340"/>
        </w:trPr>
        <w:tc>
          <w:tcPr>
            <w:tcW w:w="8964" w:type="dxa"/>
            <w:gridSpan w:val="3"/>
            <w:shd w:val="clear" w:color="auto" w:fill="D9E2F3" w:themeFill="accent5" w:themeFillTint="33"/>
            <w:vAlign w:val="center"/>
          </w:tcPr>
          <w:p w:rsidR="00AC38A9" w:rsidRPr="00D30980" w:rsidRDefault="00AC38A9" w:rsidP="00D30980">
            <w:pPr>
              <w:rPr>
                <w:sz w:val="20"/>
                <w:szCs w:val="20"/>
              </w:rPr>
            </w:pPr>
            <w:r w:rsidRPr="00AC38A9">
              <w:rPr>
                <w:b/>
                <w:sz w:val="28"/>
              </w:rPr>
              <w:t>Fourniture et pose d'une vanne extérieure enterrée</w:t>
            </w:r>
            <w:r w:rsidRPr="00AC38A9">
              <w:rPr>
                <w:b/>
                <w:sz w:val="28"/>
              </w:rPr>
              <w:tab/>
            </w:r>
          </w:p>
        </w:tc>
      </w:tr>
      <w:tr w:rsidR="00CA499C" w:rsidRPr="00D30980" w:rsidTr="005101C7">
        <w:trPr>
          <w:trHeight w:val="340"/>
        </w:trPr>
        <w:tc>
          <w:tcPr>
            <w:tcW w:w="7230" w:type="dxa"/>
            <w:vAlign w:val="center"/>
          </w:tcPr>
          <w:p w:rsidR="00CA499C" w:rsidRPr="00D30980" w:rsidRDefault="00CA499C" w:rsidP="00CA499C">
            <w:pPr>
              <w:rPr>
                <w:sz w:val="20"/>
                <w:szCs w:val="20"/>
              </w:rPr>
            </w:pPr>
            <w:r w:rsidRPr="00D30980">
              <w:rPr>
                <w:sz w:val="20"/>
                <w:szCs w:val="20"/>
              </w:rPr>
              <w:t>Sur nouveau raccordement - diam. 2" ou 63 mm PEHD</w:t>
            </w:r>
          </w:p>
        </w:tc>
        <w:tc>
          <w:tcPr>
            <w:tcW w:w="567" w:type="dxa"/>
            <w:vAlign w:val="center"/>
          </w:tcPr>
          <w:p w:rsidR="00CA499C" w:rsidRPr="00D30980" w:rsidRDefault="00CA499C" w:rsidP="00CA499C">
            <w:pPr>
              <w:rPr>
                <w:sz w:val="20"/>
                <w:szCs w:val="20"/>
              </w:rPr>
            </w:pPr>
            <w:r>
              <w:rPr>
                <w:sz w:val="20"/>
                <w:szCs w:val="20"/>
              </w:rPr>
              <w:t>€</w:t>
            </w:r>
          </w:p>
        </w:tc>
        <w:tc>
          <w:tcPr>
            <w:tcW w:w="1167" w:type="dxa"/>
            <w:vAlign w:val="center"/>
          </w:tcPr>
          <w:p w:rsidR="00CA499C" w:rsidRPr="00CA499C" w:rsidRDefault="00CA499C" w:rsidP="00CA499C">
            <w:pPr>
              <w:jc w:val="right"/>
              <w:rPr>
                <w:sz w:val="20"/>
                <w:szCs w:val="20"/>
              </w:rPr>
            </w:pPr>
            <w:r w:rsidRPr="00CA499C">
              <w:rPr>
                <w:sz w:val="20"/>
                <w:szCs w:val="20"/>
              </w:rPr>
              <w:t>363,79</w:t>
            </w:r>
          </w:p>
        </w:tc>
      </w:tr>
      <w:tr w:rsidR="00CA499C" w:rsidRPr="00D30980" w:rsidTr="005101C7">
        <w:trPr>
          <w:trHeight w:val="340"/>
        </w:trPr>
        <w:tc>
          <w:tcPr>
            <w:tcW w:w="7230" w:type="dxa"/>
            <w:vAlign w:val="center"/>
          </w:tcPr>
          <w:p w:rsidR="00CA499C" w:rsidRPr="00D30980" w:rsidRDefault="00CA499C" w:rsidP="00CA499C">
            <w:pPr>
              <w:rPr>
                <w:sz w:val="20"/>
                <w:szCs w:val="20"/>
              </w:rPr>
            </w:pPr>
            <w:r w:rsidRPr="00D30980">
              <w:rPr>
                <w:sz w:val="20"/>
                <w:szCs w:val="20"/>
              </w:rPr>
              <w:t>Sur raccordement existant - diam. 2" ou 63 mm PEHD</w:t>
            </w:r>
          </w:p>
        </w:tc>
        <w:tc>
          <w:tcPr>
            <w:tcW w:w="567" w:type="dxa"/>
            <w:vAlign w:val="center"/>
          </w:tcPr>
          <w:p w:rsidR="00CA499C" w:rsidRPr="00D30980" w:rsidRDefault="00CA499C" w:rsidP="00CA499C">
            <w:pPr>
              <w:rPr>
                <w:sz w:val="20"/>
                <w:szCs w:val="20"/>
              </w:rPr>
            </w:pPr>
            <w:r>
              <w:rPr>
                <w:sz w:val="20"/>
                <w:szCs w:val="20"/>
              </w:rPr>
              <w:t>€</w:t>
            </w:r>
          </w:p>
        </w:tc>
        <w:tc>
          <w:tcPr>
            <w:tcW w:w="1167" w:type="dxa"/>
            <w:vAlign w:val="center"/>
          </w:tcPr>
          <w:p w:rsidR="00CA499C" w:rsidRPr="00CA499C" w:rsidRDefault="00CA499C" w:rsidP="00CA499C">
            <w:pPr>
              <w:jc w:val="right"/>
              <w:rPr>
                <w:sz w:val="20"/>
                <w:szCs w:val="20"/>
              </w:rPr>
            </w:pPr>
            <w:r w:rsidRPr="00CA499C">
              <w:rPr>
                <w:sz w:val="20"/>
                <w:szCs w:val="20"/>
              </w:rPr>
              <w:t>744,61</w:t>
            </w:r>
          </w:p>
        </w:tc>
      </w:tr>
      <w:tr w:rsidR="00D30980" w:rsidRPr="00D30980" w:rsidTr="005101C7">
        <w:trPr>
          <w:trHeight w:val="340"/>
        </w:trPr>
        <w:tc>
          <w:tcPr>
            <w:tcW w:w="7230" w:type="dxa"/>
            <w:vAlign w:val="center"/>
          </w:tcPr>
          <w:p w:rsidR="00D30980" w:rsidRPr="00D30980" w:rsidRDefault="00D30980" w:rsidP="00D30980">
            <w:pPr>
              <w:rPr>
                <w:sz w:val="20"/>
                <w:szCs w:val="20"/>
              </w:rPr>
            </w:pPr>
            <w:r w:rsidRPr="00D30980">
              <w:rPr>
                <w:sz w:val="20"/>
                <w:szCs w:val="20"/>
              </w:rPr>
              <w:t>Autres configurations</w:t>
            </w:r>
          </w:p>
        </w:tc>
        <w:tc>
          <w:tcPr>
            <w:tcW w:w="567" w:type="dxa"/>
            <w:vAlign w:val="center"/>
          </w:tcPr>
          <w:p w:rsidR="00D30980" w:rsidRPr="00D30980" w:rsidRDefault="000D2537" w:rsidP="00D30980">
            <w:pPr>
              <w:rPr>
                <w:sz w:val="20"/>
                <w:szCs w:val="20"/>
              </w:rPr>
            </w:pPr>
            <w:r>
              <w:rPr>
                <w:sz w:val="20"/>
                <w:szCs w:val="20"/>
              </w:rPr>
              <w:t>€</w:t>
            </w:r>
          </w:p>
        </w:tc>
        <w:tc>
          <w:tcPr>
            <w:tcW w:w="1167" w:type="dxa"/>
            <w:vAlign w:val="center"/>
          </w:tcPr>
          <w:p w:rsidR="00D30980" w:rsidRPr="00D30980" w:rsidRDefault="00D30980" w:rsidP="001676D7">
            <w:pPr>
              <w:jc w:val="right"/>
              <w:rPr>
                <w:sz w:val="20"/>
                <w:szCs w:val="20"/>
              </w:rPr>
            </w:pPr>
            <w:r w:rsidRPr="00D30980">
              <w:rPr>
                <w:sz w:val="20"/>
                <w:szCs w:val="20"/>
              </w:rPr>
              <w:t>DEVIS</w:t>
            </w:r>
          </w:p>
        </w:tc>
      </w:tr>
      <w:tr w:rsidR="00AC38A9" w:rsidRPr="00D30980" w:rsidTr="005E10AE">
        <w:trPr>
          <w:trHeight w:val="340"/>
        </w:trPr>
        <w:tc>
          <w:tcPr>
            <w:tcW w:w="8964" w:type="dxa"/>
            <w:gridSpan w:val="3"/>
            <w:shd w:val="clear" w:color="auto" w:fill="D9E2F3" w:themeFill="accent5" w:themeFillTint="33"/>
            <w:vAlign w:val="center"/>
          </w:tcPr>
          <w:p w:rsidR="00AC38A9" w:rsidRPr="00D30980" w:rsidRDefault="00AC38A9" w:rsidP="00D30980">
            <w:pPr>
              <w:rPr>
                <w:sz w:val="20"/>
                <w:szCs w:val="20"/>
              </w:rPr>
            </w:pPr>
            <w:r w:rsidRPr="00AC38A9">
              <w:rPr>
                <w:b/>
                <w:sz w:val="28"/>
              </w:rPr>
              <w:t>Fourniture et pose d'une vanne intérieure</w:t>
            </w:r>
            <w:r w:rsidRPr="00AC38A9">
              <w:rPr>
                <w:b/>
                <w:sz w:val="28"/>
              </w:rPr>
              <w:tab/>
            </w:r>
            <w:r w:rsidRPr="00AC38A9">
              <w:rPr>
                <w:b/>
                <w:sz w:val="28"/>
              </w:rPr>
              <w:tab/>
            </w:r>
          </w:p>
        </w:tc>
      </w:tr>
      <w:tr w:rsidR="00CA499C" w:rsidRPr="00D30980" w:rsidTr="005101C7">
        <w:trPr>
          <w:trHeight w:val="340"/>
        </w:trPr>
        <w:tc>
          <w:tcPr>
            <w:tcW w:w="7230" w:type="dxa"/>
            <w:vAlign w:val="center"/>
          </w:tcPr>
          <w:p w:rsidR="00CA499C" w:rsidRPr="00D30980" w:rsidRDefault="00CA499C" w:rsidP="00CA499C">
            <w:pPr>
              <w:rPr>
                <w:sz w:val="20"/>
                <w:szCs w:val="20"/>
              </w:rPr>
            </w:pPr>
            <w:r w:rsidRPr="00D30980">
              <w:rPr>
                <w:sz w:val="20"/>
                <w:szCs w:val="20"/>
              </w:rPr>
              <w:t>Nouveau raccordement - diam. 2"</w:t>
            </w:r>
          </w:p>
        </w:tc>
        <w:tc>
          <w:tcPr>
            <w:tcW w:w="567" w:type="dxa"/>
            <w:vAlign w:val="center"/>
          </w:tcPr>
          <w:p w:rsidR="00CA499C" w:rsidRPr="00D30980" w:rsidRDefault="00CA499C" w:rsidP="00CA499C">
            <w:pPr>
              <w:rPr>
                <w:sz w:val="20"/>
                <w:szCs w:val="20"/>
              </w:rPr>
            </w:pPr>
            <w:r>
              <w:rPr>
                <w:sz w:val="20"/>
                <w:szCs w:val="20"/>
              </w:rPr>
              <w:t>€</w:t>
            </w:r>
          </w:p>
        </w:tc>
        <w:tc>
          <w:tcPr>
            <w:tcW w:w="1167" w:type="dxa"/>
            <w:vAlign w:val="center"/>
          </w:tcPr>
          <w:p w:rsidR="00CA499C" w:rsidRPr="00CA499C" w:rsidRDefault="00CA499C" w:rsidP="00CA499C">
            <w:pPr>
              <w:jc w:val="right"/>
              <w:rPr>
                <w:sz w:val="20"/>
                <w:szCs w:val="20"/>
              </w:rPr>
            </w:pPr>
            <w:r w:rsidRPr="00CA499C">
              <w:rPr>
                <w:sz w:val="20"/>
                <w:szCs w:val="20"/>
              </w:rPr>
              <w:t>286,15</w:t>
            </w:r>
          </w:p>
        </w:tc>
      </w:tr>
      <w:tr w:rsidR="00CA499C" w:rsidRPr="00D30980" w:rsidTr="005101C7">
        <w:trPr>
          <w:trHeight w:val="340"/>
        </w:trPr>
        <w:tc>
          <w:tcPr>
            <w:tcW w:w="7230" w:type="dxa"/>
            <w:vAlign w:val="center"/>
          </w:tcPr>
          <w:p w:rsidR="00CA499C" w:rsidRPr="00D30980" w:rsidRDefault="00CA499C" w:rsidP="00CA499C">
            <w:pPr>
              <w:rPr>
                <w:sz w:val="20"/>
                <w:szCs w:val="20"/>
              </w:rPr>
            </w:pPr>
            <w:r w:rsidRPr="00D30980">
              <w:rPr>
                <w:sz w:val="20"/>
                <w:szCs w:val="20"/>
              </w:rPr>
              <w:t>Raccordement existant - diam. 2"</w:t>
            </w:r>
          </w:p>
        </w:tc>
        <w:tc>
          <w:tcPr>
            <w:tcW w:w="567" w:type="dxa"/>
            <w:vAlign w:val="center"/>
          </w:tcPr>
          <w:p w:rsidR="00CA499C" w:rsidRPr="00D30980" w:rsidRDefault="00CA499C" w:rsidP="00CA499C">
            <w:pPr>
              <w:rPr>
                <w:sz w:val="20"/>
                <w:szCs w:val="20"/>
              </w:rPr>
            </w:pPr>
            <w:r>
              <w:rPr>
                <w:sz w:val="20"/>
                <w:szCs w:val="20"/>
              </w:rPr>
              <w:t>€</w:t>
            </w:r>
          </w:p>
        </w:tc>
        <w:tc>
          <w:tcPr>
            <w:tcW w:w="1167" w:type="dxa"/>
            <w:vAlign w:val="center"/>
          </w:tcPr>
          <w:p w:rsidR="00CA499C" w:rsidRPr="00CA499C" w:rsidRDefault="00CA499C" w:rsidP="00CA499C">
            <w:pPr>
              <w:jc w:val="right"/>
              <w:rPr>
                <w:sz w:val="20"/>
                <w:szCs w:val="20"/>
              </w:rPr>
            </w:pPr>
            <w:r w:rsidRPr="00CA499C">
              <w:rPr>
                <w:sz w:val="20"/>
                <w:szCs w:val="20"/>
              </w:rPr>
              <w:t>366,98</w:t>
            </w:r>
          </w:p>
        </w:tc>
      </w:tr>
      <w:tr w:rsidR="00CA499C" w:rsidRPr="00D30980" w:rsidTr="005101C7">
        <w:trPr>
          <w:trHeight w:val="340"/>
        </w:trPr>
        <w:tc>
          <w:tcPr>
            <w:tcW w:w="7230" w:type="dxa"/>
            <w:vAlign w:val="center"/>
          </w:tcPr>
          <w:p w:rsidR="00CA499C" w:rsidRPr="00D30980" w:rsidRDefault="00CA499C" w:rsidP="00CA499C">
            <w:pPr>
              <w:rPr>
                <w:sz w:val="20"/>
                <w:szCs w:val="20"/>
              </w:rPr>
            </w:pPr>
            <w:r w:rsidRPr="00D30980">
              <w:rPr>
                <w:sz w:val="20"/>
                <w:szCs w:val="20"/>
              </w:rPr>
              <w:t>Nouveau raccordement - diam. 100 mm ou 4"</w:t>
            </w:r>
          </w:p>
        </w:tc>
        <w:tc>
          <w:tcPr>
            <w:tcW w:w="567" w:type="dxa"/>
            <w:vAlign w:val="center"/>
          </w:tcPr>
          <w:p w:rsidR="00CA499C" w:rsidRPr="00D30980" w:rsidRDefault="00CA499C" w:rsidP="00CA499C">
            <w:pPr>
              <w:rPr>
                <w:sz w:val="20"/>
                <w:szCs w:val="20"/>
              </w:rPr>
            </w:pPr>
            <w:r>
              <w:rPr>
                <w:sz w:val="20"/>
                <w:szCs w:val="20"/>
              </w:rPr>
              <w:t>€</w:t>
            </w:r>
          </w:p>
        </w:tc>
        <w:tc>
          <w:tcPr>
            <w:tcW w:w="1167" w:type="dxa"/>
            <w:vAlign w:val="center"/>
          </w:tcPr>
          <w:p w:rsidR="00CA499C" w:rsidRPr="00CA499C" w:rsidRDefault="00CA499C" w:rsidP="00CA499C">
            <w:pPr>
              <w:jc w:val="right"/>
              <w:rPr>
                <w:sz w:val="20"/>
                <w:szCs w:val="20"/>
              </w:rPr>
            </w:pPr>
            <w:r w:rsidRPr="00CA499C">
              <w:rPr>
                <w:sz w:val="20"/>
                <w:szCs w:val="20"/>
              </w:rPr>
              <w:t>839,27</w:t>
            </w:r>
          </w:p>
        </w:tc>
      </w:tr>
      <w:tr w:rsidR="00CA499C" w:rsidRPr="00D30980" w:rsidTr="005101C7">
        <w:trPr>
          <w:trHeight w:val="340"/>
        </w:trPr>
        <w:tc>
          <w:tcPr>
            <w:tcW w:w="7230" w:type="dxa"/>
            <w:vAlign w:val="center"/>
          </w:tcPr>
          <w:p w:rsidR="00CA499C" w:rsidRPr="00D30980" w:rsidRDefault="00CA499C" w:rsidP="00CA499C">
            <w:pPr>
              <w:rPr>
                <w:sz w:val="20"/>
                <w:szCs w:val="20"/>
              </w:rPr>
            </w:pPr>
            <w:r w:rsidRPr="00D30980">
              <w:rPr>
                <w:sz w:val="20"/>
                <w:szCs w:val="20"/>
              </w:rPr>
              <w:t>Raccordement existant - diam. 100 mm ou 4"</w:t>
            </w:r>
          </w:p>
        </w:tc>
        <w:tc>
          <w:tcPr>
            <w:tcW w:w="567" w:type="dxa"/>
            <w:vAlign w:val="center"/>
          </w:tcPr>
          <w:p w:rsidR="00CA499C" w:rsidRPr="00D30980" w:rsidRDefault="00CA499C" w:rsidP="00CA499C">
            <w:pPr>
              <w:rPr>
                <w:sz w:val="20"/>
                <w:szCs w:val="20"/>
              </w:rPr>
            </w:pPr>
            <w:r>
              <w:rPr>
                <w:sz w:val="20"/>
                <w:szCs w:val="20"/>
              </w:rPr>
              <w:t>€</w:t>
            </w:r>
          </w:p>
        </w:tc>
        <w:tc>
          <w:tcPr>
            <w:tcW w:w="1167" w:type="dxa"/>
            <w:vAlign w:val="center"/>
          </w:tcPr>
          <w:p w:rsidR="00CA499C" w:rsidRPr="00CA499C" w:rsidRDefault="00CA499C" w:rsidP="00CA499C">
            <w:pPr>
              <w:jc w:val="right"/>
              <w:rPr>
                <w:sz w:val="20"/>
                <w:szCs w:val="20"/>
              </w:rPr>
            </w:pPr>
            <w:r w:rsidRPr="00CA499C">
              <w:rPr>
                <w:sz w:val="20"/>
                <w:szCs w:val="20"/>
              </w:rPr>
              <w:t>920,12</w:t>
            </w:r>
          </w:p>
        </w:tc>
      </w:tr>
      <w:tr w:rsidR="00D30980" w:rsidRPr="00D30980" w:rsidTr="005101C7">
        <w:trPr>
          <w:trHeight w:val="340"/>
        </w:trPr>
        <w:tc>
          <w:tcPr>
            <w:tcW w:w="7230" w:type="dxa"/>
            <w:vAlign w:val="center"/>
          </w:tcPr>
          <w:p w:rsidR="00D30980" w:rsidRPr="00D30980" w:rsidRDefault="00D30980" w:rsidP="00D30980">
            <w:pPr>
              <w:rPr>
                <w:sz w:val="20"/>
                <w:szCs w:val="20"/>
              </w:rPr>
            </w:pPr>
            <w:r w:rsidRPr="00D30980">
              <w:rPr>
                <w:sz w:val="20"/>
                <w:szCs w:val="20"/>
              </w:rPr>
              <w:t>Autres configurations</w:t>
            </w:r>
          </w:p>
        </w:tc>
        <w:tc>
          <w:tcPr>
            <w:tcW w:w="567" w:type="dxa"/>
            <w:vAlign w:val="center"/>
          </w:tcPr>
          <w:p w:rsidR="00D30980" w:rsidRPr="00D30980" w:rsidRDefault="000D2537" w:rsidP="00D30980">
            <w:pPr>
              <w:rPr>
                <w:sz w:val="20"/>
                <w:szCs w:val="20"/>
              </w:rPr>
            </w:pPr>
            <w:r>
              <w:rPr>
                <w:sz w:val="20"/>
                <w:szCs w:val="20"/>
              </w:rPr>
              <w:t>€</w:t>
            </w:r>
          </w:p>
        </w:tc>
        <w:tc>
          <w:tcPr>
            <w:tcW w:w="1167" w:type="dxa"/>
            <w:vAlign w:val="center"/>
          </w:tcPr>
          <w:p w:rsidR="00D30980" w:rsidRPr="001676D7" w:rsidRDefault="00D30980" w:rsidP="001676D7">
            <w:pPr>
              <w:jc w:val="right"/>
              <w:rPr>
                <w:sz w:val="20"/>
                <w:szCs w:val="20"/>
              </w:rPr>
            </w:pPr>
            <w:r w:rsidRPr="001676D7">
              <w:rPr>
                <w:sz w:val="20"/>
                <w:szCs w:val="20"/>
              </w:rPr>
              <w:t>DEVIS</w:t>
            </w:r>
          </w:p>
        </w:tc>
      </w:tr>
      <w:tr w:rsidR="000D2537" w:rsidRPr="00D30980" w:rsidTr="005E10AE">
        <w:trPr>
          <w:trHeight w:val="340"/>
        </w:trPr>
        <w:tc>
          <w:tcPr>
            <w:tcW w:w="8964" w:type="dxa"/>
            <w:gridSpan w:val="3"/>
            <w:shd w:val="clear" w:color="auto" w:fill="D9E2F3" w:themeFill="accent5" w:themeFillTint="33"/>
            <w:vAlign w:val="center"/>
          </w:tcPr>
          <w:p w:rsidR="000D2537" w:rsidRPr="00D30980" w:rsidRDefault="000D2537" w:rsidP="00D30980">
            <w:pPr>
              <w:rPr>
                <w:sz w:val="20"/>
                <w:szCs w:val="20"/>
              </w:rPr>
            </w:pPr>
            <w:r w:rsidRPr="000D2537">
              <w:rPr>
                <w:b/>
                <w:sz w:val="28"/>
              </w:rPr>
              <w:t>Remarques</w:t>
            </w:r>
          </w:p>
        </w:tc>
      </w:tr>
      <w:tr w:rsidR="000D2537" w:rsidRPr="00D30980" w:rsidTr="00FE17A1">
        <w:trPr>
          <w:trHeight w:val="340"/>
        </w:trPr>
        <w:tc>
          <w:tcPr>
            <w:tcW w:w="8964" w:type="dxa"/>
            <w:gridSpan w:val="3"/>
            <w:vAlign w:val="center"/>
          </w:tcPr>
          <w:p w:rsidR="000D2537" w:rsidRPr="00D30980" w:rsidRDefault="000D2537" w:rsidP="00D30980">
            <w:pPr>
              <w:rPr>
                <w:sz w:val="20"/>
                <w:szCs w:val="20"/>
              </w:rPr>
            </w:pPr>
            <w:r w:rsidRPr="000D2537">
              <w:rPr>
                <w:sz w:val="20"/>
                <w:szCs w:val="20"/>
              </w:rPr>
              <w:t>Tous les prix sont indiqués hors TVA</w:t>
            </w:r>
            <w:r w:rsidR="00006191">
              <w:rPr>
                <w:sz w:val="20"/>
                <w:szCs w:val="20"/>
              </w:rPr>
              <w:t>.</w:t>
            </w:r>
          </w:p>
        </w:tc>
      </w:tr>
      <w:tr w:rsidR="000D2537" w:rsidRPr="00D30980" w:rsidTr="00FE17A1">
        <w:trPr>
          <w:trHeight w:val="340"/>
        </w:trPr>
        <w:tc>
          <w:tcPr>
            <w:tcW w:w="8964" w:type="dxa"/>
            <w:gridSpan w:val="3"/>
            <w:vAlign w:val="center"/>
          </w:tcPr>
          <w:p w:rsidR="000D2537" w:rsidRPr="00D30980" w:rsidRDefault="000D2537" w:rsidP="00D30980">
            <w:pPr>
              <w:rPr>
                <w:sz w:val="20"/>
                <w:szCs w:val="20"/>
              </w:rPr>
            </w:pPr>
            <w:r w:rsidRPr="000D2537">
              <w:rPr>
                <w:sz w:val="20"/>
                <w:szCs w:val="20"/>
              </w:rPr>
              <w:t>Ce tarif de raccordement forfaitaire est d'application pour les raccordements standards, conformes aux prescriptions techniques de RESA, pour autant que l'URD se soit occupé des livraisons et des travaux qui lui ont été confiés, et que les prix de raccordement soient confirmés par écrit par RESA.</w:t>
            </w:r>
          </w:p>
        </w:tc>
      </w:tr>
    </w:tbl>
    <w:p w:rsidR="007F29B4" w:rsidRPr="007A7C00" w:rsidRDefault="007F29B4" w:rsidP="006F5265">
      <w:pPr>
        <w:spacing w:after="0" w:line="240" w:lineRule="auto"/>
        <w:jc w:val="right"/>
        <w:sectPr w:rsidR="007F29B4" w:rsidRPr="007A7C00">
          <w:headerReference w:type="default" r:id="rId10"/>
          <w:pgSz w:w="11906" w:h="16838"/>
          <w:pgMar w:top="1417" w:right="1417" w:bottom="1417" w:left="1417" w:header="708" w:footer="708" w:gutter="0"/>
          <w:cols w:space="708"/>
          <w:docGrid w:linePitch="360"/>
        </w:sectPr>
      </w:pPr>
    </w:p>
    <w:p w:rsidR="00B04BF8" w:rsidRDefault="00B04BF8"/>
    <w:tbl>
      <w:tblPr>
        <w:tblStyle w:val="Grilledutableau"/>
        <w:tblW w:w="8964" w:type="dxa"/>
        <w:tblInd w:w="-5" w:type="dxa"/>
        <w:tblLayout w:type="fixed"/>
        <w:tblLook w:val="04A0" w:firstRow="1" w:lastRow="0" w:firstColumn="1" w:lastColumn="0" w:noHBand="0" w:noVBand="1"/>
      </w:tblPr>
      <w:tblGrid>
        <w:gridCol w:w="7230"/>
        <w:gridCol w:w="567"/>
        <w:gridCol w:w="1167"/>
      </w:tblGrid>
      <w:tr w:rsidR="00B04BF8" w:rsidRPr="005E725F" w:rsidTr="00FE17A1">
        <w:trPr>
          <w:trHeight w:val="441"/>
        </w:trPr>
        <w:tc>
          <w:tcPr>
            <w:tcW w:w="8964" w:type="dxa"/>
            <w:gridSpan w:val="3"/>
            <w:shd w:val="clear" w:color="auto" w:fill="D9E2F3" w:themeFill="accent5" w:themeFillTint="33"/>
            <w:vAlign w:val="center"/>
          </w:tcPr>
          <w:p w:rsidR="00B04BF8" w:rsidRPr="005E725F" w:rsidRDefault="00B04BF8" w:rsidP="00B04BF8">
            <w:pPr>
              <w:rPr>
                <w:b/>
                <w:sz w:val="28"/>
              </w:rPr>
            </w:pPr>
            <w:r w:rsidRPr="008B42B3">
              <w:rPr>
                <w:b/>
                <w:sz w:val="28"/>
              </w:rPr>
              <w:t xml:space="preserve">Raccordement standard </w:t>
            </w:r>
            <w:r>
              <w:rPr>
                <w:b/>
                <w:sz w:val="28"/>
              </w:rPr>
              <w:t>au départ du réseau MP A, B, C</w:t>
            </w:r>
          </w:p>
        </w:tc>
      </w:tr>
      <w:tr w:rsidR="00B04BF8" w:rsidRPr="00AA7825" w:rsidTr="00FE17A1">
        <w:trPr>
          <w:trHeight w:val="396"/>
        </w:trPr>
        <w:tc>
          <w:tcPr>
            <w:tcW w:w="7230" w:type="dxa"/>
            <w:vAlign w:val="center"/>
          </w:tcPr>
          <w:p w:rsidR="00B04BF8" w:rsidRPr="00AA7825" w:rsidRDefault="00B04BF8" w:rsidP="00B04BF8">
            <w:pPr>
              <w:rPr>
                <w:sz w:val="20"/>
                <w:szCs w:val="20"/>
              </w:rPr>
            </w:pPr>
            <w:r w:rsidRPr="00AA7825">
              <w:rPr>
                <w:sz w:val="20"/>
                <w:szCs w:val="20"/>
              </w:rPr>
              <w:t xml:space="preserve">Raccordement  </w:t>
            </w:r>
          </w:p>
        </w:tc>
        <w:tc>
          <w:tcPr>
            <w:tcW w:w="567" w:type="dxa"/>
            <w:vAlign w:val="center"/>
          </w:tcPr>
          <w:p w:rsidR="00B04BF8" w:rsidRPr="00AA7825" w:rsidRDefault="00B04BF8" w:rsidP="00FE17A1">
            <w:pPr>
              <w:rPr>
                <w:sz w:val="20"/>
                <w:szCs w:val="20"/>
              </w:rPr>
            </w:pPr>
            <w:r w:rsidRPr="00AA7825">
              <w:rPr>
                <w:sz w:val="20"/>
                <w:szCs w:val="20"/>
              </w:rPr>
              <w:t>€</w:t>
            </w:r>
          </w:p>
        </w:tc>
        <w:tc>
          <w:tcPr>
            <w:tcW w:w="1167" w:type="dxa"/>
            <w:vAlign w:val="center"/>
          </w:tcPr>
          <w:p w:rsidR="00B04BF8" w:rsidRPr="00AA7825" w:rsidRDefault="00B04BF8" w:rsidP="00B04BF8">
            <w:pPr>
              <w:jc w:val="right"/>
              <w:rPr>
                <w:sz w:val="20"/>
                <w:szCs w:val="20"/>
              </w:rPr>
            </w:pPr>
            <w:r>
              <w:rPr>
                <w:sz w:val="20"/>
                <w:szCs w:val="20"/>
              </w:rPr>
              <w:t>DEVIS</w:t>
            </w:r>
          </w:p>
        </w:tc>
      </w:tr>
      <w:tr w:rsidR="00B04BF8" w:rsidRPr="00AA7825" w:rsidTr="005E10AE">
        <w:trPr>
          <w:trHeight w:val="340"/>
        </w:trPr>
        <w:tc>
          <w:tcPr>
            <w:tcW w:w="8964" w:type="dxa"/>
            <w:gridSpan w:val="3"/>
            <w:shd w:val="clear" w:color="auto" w:fill="D9E2F3" w:themeFill="accent5" w:themeFillTint="33"/>
            <w:vAlign w:val="center"/>
          </w:tcPr>
          <w:p w:rsidR="00B04BF8" w:rsidRPr="00AA7825" w:rsidRDefault="00B04BF8" w:rsidP="00B04BF8">
            <w:pPr>
              <w:rPr>
                <w:sz w:val="20"/>
                <w:szCs w:val="20"/>
              </w:rPr>
            </w:pPr>
            <w:r w:rsidRPr="00B04BF8">
              <w:rPr>
                <w:b/>
                <w:sz w:val="28"/>
              </w:rPr>
              <w:t>Raccordement des pompes CNG</w:t>
            </w:r>
          </w:p>
        </w:tc>
      </w:tr>
      <w:tr w:rsidR="004D761B" w:rsidRPr="00AA7825" w:rsidTr="00FE17A1">
        <w:trPr>
          <w:trHeight w:val="340"/>
        </w:trPr>
        <w:tc>
          <w:tcPr>
            <w:tcW w:w="8964" w:type="dxa"/>
            <w:gridSpan w:val="3"/>
            <w:vAlign w:val="center"/>
          </w:tcPr>
          <w:p w:rsidR="004D761B" w:rsidRDefault="004D761B" w:rsidP="004D761B">
            <w:pPr>
              <w:rPr>
                <w:sz w:val="20"/>
                <w:szCs w:val="20"/>
              </w:rPr>
            </w:pPr>
          </w:p>
          <w:p w:rsidR="004D761B" w:rsidRDefault="004D761B" w:rsidP="004D761B">
            <w:pPr>
              <w:rPr>
                <w:sz w:val="20"/>
                <w:szCs w:val="20"/>
              </w:rPr>
            </w:pPr>
            <w:r w:rsidRPr="00B04BF8">
              <w:rPr>
                <w:sz w:val="20"/>
                <w:szCs w:val="20"/>
              </w:rPr>
              <w:t>Dans le cadre du raccordement des pompes CNG, l'extension de réseau ne donne pas lieu à un c</w:t>
            </w:r>
            <w:r>
              <w:rPr>
                <w:sz w:val="20"/>
                <w:szCs w:val="20"/>
              </w:rPr>
              <w:t>alcul de rentabilité spécifique mais à une offre spécifique fonction des travaux nécessaires.</w:t>
            </w:r>
          </w:p>
          <w:p w:rsidR="004D761B" w:rsidRDefault="004D761B" w:rsidP="004D761B">
            <w:pPr>
              <w:rPr>
                <w:sz w:val="20"/>
                <w:szCs w:val="20"/>
              </w:rPr>
            </w:pPr>
            <w:r w:rsidRPr="00B04BF8">
              <w:rPr>
                <w:sz w:val="20"/>
                <w:szCs w:val="20"/>
              </w:rPr>
              <w:t xml:space="preserve">Cependant, un abattement d’une valeur maximale de </w:t>
            </w:r>
            <w:r>
              <w:rPr>
                <w:sz w:val="20"/>
                <w:szCs w:val="20"/>
              </w:rPr>
              <w:t>75</w:t>
            </w:r>
            <w:r w:rsidRPr="00B04BF8">
              <w:rPr>
                <w:sz w:val="20"/>
                <w:szCs w:val="20"/>
              </w:rPr>
              <w:t xml:space="preserve">.000 € sur les 500 premiers mètres </w:t>
            </w:r>
            <w:r>
              <w:rPr>
                <w:sz w:val="20"/>
                <w:szCs w:val="20"/>
              </w:rPr>
              <w:t>d</w:t>
            </w:r>
            <w:r w:rsidRPr="00B04BF8">
              <w:rPr>
                <w:sz w:val="20"/>
                <w:szCs w:val="20"/>
              </w:rPr>
              <w:t xml:space="preserve">'extension à partir de la conduite existante est consenti sur </w:t>
            </w:r>
            <w:r>
              <w:rPr>
                <w:sz w:val="20"/>
                <w:szCs w:val="20"/>
              </w:rPr>
              <w:t>le cout de l’extension éventuelle</w:t>
            </w:r>
            <w:r w:rsidRPr="00B04BF8">
              <w:rPr>
                <w:sz w:val="20"/>
                <w:szCs w:val="20"/>
              </w:rPr>
              <w:t>.</w:t>
            </w:r>
            <w:r w:rsidRPr="00B04BF8">
              <w:rPr>
                <w:sz w:val="20"/>
                <w:szCs w:val="20"/>
              </w:rPr>
              <w:tab/>
            </w:r>
          </w:p>
          <w:p w:rsidR="004D761B" w:rsidRDefault="004D761B" w:rsidP="004D761B">
            <w:pPr>
              <w:rPr>
                <w:sz w:val="20"/>
                <w:szCs w:val="20"/>
              </w:rPr>
            </w:pPr>
          </w:p>
          <w:p w:rsidR="004D761B" w:rsidRDefault="004D761B" w:rsidP="004D761B">
            <w:pPr>
              <w:rPr>
                <w:sz w:val="20"/>
                <w:szCs w:val="20"/>
              </w:rPr>
            </w:pPr>
            <w:r>
              <w:rPr>
                <w:sz w:val="20"/>
                <w:szCs w:val="20"/>
              </w:rPr>
              <w:t>De plus, un abattement d’une valeur maximum de 25.000 € est également consenti sur les couts de raccordement et de redevance relative à la cabine ou poste de détente.</w:t>
            </w:r>
          </w:p>
          <w:p w:rsidR="004D761B" w:rsidRDefault="004D761B" w:rsidP="004D761B">
            <w:pPr>
              <w:rPr>
                <w:sz w:val="20"/>
                <w:szCs w:val="20"/>
              </w:rPr>
            </w:pPr>
            <w:r>
              <w:rPr>
                <w:sz w:val="20"/>
                <w:szCs w:val="20"/>
              </w:rPr>
              <w:t>La cabine ou le poste de détente est fourni et placé gratuitement par RESA.</w:t>
            </w:r>
          </w:p>
          <w:p w:rsidR="004D761B" w:rsidRDefault="004D761B" w:rsidP="004D761B">
            <w:pPr>
              <w:rPr>
                <w:sz w:val="20"/>
                <w:szCs w:val="20"/>
              </w:rPr>
            </w:pPr>
          </w:p>
          <w:p w:rsidR="004D761B" w:rsidRDefault="004D761B" w:rsidP="004D761B">
            <w:pPr>
              <w:rPr>
                <w:sz w:val="20"/>
                <w:szCs w:val="20"/>
              </w:rPr>
            </w:pPr>
            <w:r>
              <w:rPr>
                <w:sz w:val="20"/>
                <w:szCs w:val="20"/>
              </w:rPr>
              <w:t>Cet abattement de 25.000 € est réparti comme suit :</w:t>
            </w:r>
          </w:p>
          <w:p w:rsidR="004D761B" w:rsidRDefault="004D761B" w:rsidP="004D761B">
            <w:pPr>
              <w:pStyle w:val="Paragraphedeliste"/>
              <w:numPr>
                <w:ilvl w:val="0"/>
                <w:numId w:val="13"/>
              </w:numPr>
              <w:rPr>
                <w:sz w:val="20"/>
                <w:szCs w:val="20"/>
              </w:rPr>
            </w:pPr>
            <w:r>
              <w:rPr>
                <w:sz w:val="20"/>
                <w:szCs w:val="20"/>
              </w:rPr>
              <w:t>un maximum de 10.000 € sur les couts de raccordement et</w:t>
            </w:r>
          </w:p>
          <w:p w:rsidR="004D761B" w:rsidRDefault="004D761B" w:rsidP="004D761B">
            <w:pPr>
              <w:pStyle w:val="Paragraphedeliste"/>
              <w:numPr>
                <w:ilvl w:val="0"/>
                <w:numId w:val="13"/>
              </w:numPr>
              <w:rPr>
                <w:sz w:val="20"/>
                <w:szCs w:val="20"/>
              </w:rPr>
            </w:pPr>
            <w:r>
              <w:rPr>
                <w:sz w:val="20"/>
                <w:szCs w:val="20"/>
              </w:rPr>
              <w:t xml:space="preserve">5 gratuités de la redevance annuelle « cabine ou poste de détente » avec un maximum de 15.000 €. </w:t>
            </w:r>
          </w:p>
          <w:p w:rsidR="004D761B" w:rsidRDefault="004D761B" w:rsidP="004D761B">
            <w:pPr>
              <w:rPr>
                <w:sz w:val="20"/>
                <w:szCs w:val="20"/>
              </w:rPr>
            </w:pPr>
          </w:p>
          <w:p w:rsidR="004D761B" w:rsidRPr="00B04BF8" w:rsidRDefault="004D761B" w:rsidP="004D761B">
            <w:pPr>
              <w:rPr>
                <w:sz w:val="20"/>
                <w:szCs w:val="20"/>
              </w:rPr>
            </w:pPr>
            <w:r w:rsidRPr="00B04BF8">
              <w:rPr>
                <w:sz w:val="20"/>
                <w:szCs w:val="20"/>
              </w:rPr>
              <w:t>Ce</w:t>
            </w:r>
            <w:r>
              <w:rPr>
                <w:sz w:val="20"/>
                <w:szCs w:val="20"/>
              </w:rPr>
              <w:t xml:space="preserve">s </w:t>
            </w:r>
            <w:r w:rsidRPr="00B04BF8">
              <w:rPr>
                <w:sz w:val="20"/>
                <w:szCs w:val="20"/>
              </w:rPr>
              <w:t>abattement</w:t>
            </w:r>
            <w:r>
              <w:rPr>
                <w:sz w:val="20"/>
                <w:szCs w:val="20"/>
              </w:rPr>
              <w:t>s</w:t>
            </w:r>
            <w:r w:rsidRPr="00B04BF8">
              <w:rPr>
                <w:sz w:val="20"/>
                <w:szCs w:val="20"/>
              </w:rPr>
              <w:t xml:space="preserve"> </w:t>
            </w:r>
            <w:r>
              <w:rPr>
                <w:sz w:val="20"/>
                <w:szCs w:val="20"/>
              </w:rPr>
              <w:t>sont</w:t>
            </w:r>
            <w:r w:rsidRPr="00B04BF8">
              <w:rPr>
                <w:sz w:val="20"/>
                <w:szCs w:val="20"/>
              </w:rPr>
              <w:t xml:space="preserve"> octroyé</w:t>
            </w:r>
            <w:r>
              <w:rPr>
                <w:sz w:val="20"/>
                <w:szCs w:val="20"/>
              </w:rPr>
              <w:t>s</w:t>
            </w:r>
            <w:r w:rsidRPr="00B04BF8">
              <w:rPr>
                <w:sz w:val="20"/>
                <w:szCs w:val="20"/>
              </w:rPr>
              <w:t xml:space="preserve"> uniquement dans le cas suivant:</w:t>
            </w:r>
            <w:r w:rsidRPr="00B04BF8">
              <w:rPr>
                <w:sz w:val="20"/>
                <w:szCs w:val="20"/>
              </w:rPr>
              <w:tab/>
            </w:r>
            <w:r w:rsidRPr="00B04BF8">
              <w:rPr>
                <w:sz w:val="20"/>
                <w:szCs w:val="20"/>
              </w:rPr>
              <w:tab/>
            </w:r>
          </w:p>
          <w:p w:rsidR="004D761B" w:rsidRPr="00B04BF8" w:rsidRDefault="004D761B" w:rsidP="004D761B">
            <w:pPr>
              <w:pStyle w:val="Paragraphedeliste"/>
              <w:numPr>
                <w:ilvl w:val="0"/>
                <w:numId w:val="13"/>
              </w:numPr>
              <w:rPr>
                <w:sz w:val="20"/>
                <w:szCs w:val="20"/>
              </w:rPr>
            </w:pPr>
            <w:r w:rsidRPr="00B04BF8">
              <w:rPr>
                <w:sz w:val="20"/>
                <w:szCs w:val="20"/>
              </w:rPr>
              <w:t xml:space="preserve">raccordement au réseau de distribution sans apport externe de gaz (citerne, bio gaz, …), et </w:t>
            </w:r>
            <w:r w:rsidRPr="00B04BF8">
              <w:rPr>
                <w:sz w:val="20"/>
                <w:szCs w:val="20"/>
              </w:rPr>
              <w:tab/>
            </w:r>
          </w:p>
          <w:p w:rsidR="004D761B" w:rsidRPr="00B04BF8" w:rsidRDefault="004D761B" w:rsidP="004D761B">
            <w:pPr>
              <w:pStyle w:val="Paragraphedeliste"/>
              <w:numPr>
                <w:ilvl w:val="0"/>
                <w:numId w:val="13"/>
              </w:numPr>
              <w:rPr>
                <w:sz w:val="20"/>
                <w:szCs w:val="20"/>
              </w:rPr>
            </w:pPr>
            <w:r w:rsidRPr="00B04BF8">
              <w:rPr>
                <w:sz w:val="20"/>
                <w:szCs w:val="20"/>
              </w:rPr>
              <w:t>pompes « publiques » accessibles à tous,  et</w:t>
            </w:r>
            <w:r w:rsidRPr="00B04BF8">
              <w:rPr>
                <w:sz w:val="20"/>
                <w:szCs w:val="20"/>
              </w:rPr>
              <w:tab/>
            </w:r>
            <w:r w:rsidRPr="00B04BF8">
              <w:rPr>
                <w:sz w:val="20"/>
                <w:szCs w:val="20"/>
              </w:rPr>
              <w:tab/>
            </w:r>
          </w:p>
          <w:p w:rsidR="004D761B" w:rsidRPr="00B04BF8" w:rsidRDefault="004D761B" w:rsidP="004D761B">
            <w:pPr>
              <w:pStyle w:val="Paragraphedeliste"/>
              <w:numPr>
                <w:ilvl w:val="0"/>
                <w:numId w:val="13"/>
              </w:numPr>
              <w:rPr>
                <w:sz w:val="20"/>
                <w:szCs w:val="20"/>
              </w:rPr>
            </w:pPr>
            <w:r w:rsidRPr="00B04BF8">
              <w:rPr>
                <w:sz w:val="20"/>
                <w:szCs w:val="20"/>
              </w:rPr>
              <w:t>pression de raccordement MP</w:t>
            </w:r>
            <w:r w:rsidRPr="00B04BF8">
              <w:rPr>
                <w:sz w:val="20"/>
                <w:szCs w:val="20"/>
              </w:rPr>
              <w:tab/>
            </w:r>
            <w:r w:rsidRPr="00B04BF8">
              <w:rPr>
                <w:sz w:val="20"/>
                <w:szCs w:val="20"/>
              </w:rPr>
              <w:tab/>
            </w:r>
          </w:p>
          <w:p w:rsidR="004D761B" w:rsidRDefault="004D761B" w:rsidP="004D761B">
            <w:pPr>
              <w:rPr>
                <w:sz w:val="20"/>
                <w:szCs w:val="20"/>
              </w:rPr>
            </w:pPr>
          </w:p>
          <w:p w:rsidR="004D761B" w:rsidRPr="00B04BF8" w:rsidRDefault="004D761B" w:rsidP="004D761B">
            <w:pPr>
              <w:rPr>
                <w:sz w:val="20"/>
                <w:szCs w:val="20"/>
              </w:rPr>
            </w:pPr>
            <w:r>
              <w:rPr>
                <w:sz w:val="20"/>
                <w:szCs w:val="20"/>
              </w:rPr>
              <w:t>Se</w:t>
            </w:r>
            <w:r w:rsidRPr="00B04BF8">
              <w:rPr>
                <w:sz w:val="20"/>
                <w:szCs w:val="20"/>
              </w:rPr>
              <w:t>ront donc facturés,</w:t>
            </w:r>
            <w:r w:rsidRPr="00B04BF8">
              <w:rPr>
                <w:sz w:val="20"/>
                <w:szCs w:val="20"/>
              </w:rPr>
              <w:tab/>
            </w:r>
            <w:r w:rsidRPr="00B04BF8">
              <w:rPr>
                <w:sz w:val="20"/>
                <w:szCs w:val="20"/>
              </w:rPr>
              <w:tab/>
            </w:r>
          </w:p>
          <w:p w:rsidR="004D761B" w:rsidRDefault="004D761B" w:rsidP="004D761B">
            <w:pPr>
              <w:pStyle w:val="Paragraphedeliste"/>
              <w:numPr>
                <w:ilvl w:val="0"/>
                <w:numId w:val="13"/>
              </w:numPr>
              <w:rPr>
                <w:sz w:val="20"/>
                <w:szCs w:val="20"/>
              </w:rPr>
            </w:pPr>
            <w:r>
              <w:rPr>
                <w:sz w:val="20"/>
                <w:szCs w:val="20"/>
              </w:rPr>
              <w:t>tout dépassement des limites des abattements relatifs aux postes suivants</w:t>
            </w:r>
          </w:p>
          <w:p w:rsidR="004D761B" w:rsidRDefault="004D761B" w:rsidP="004D761B">
            <w:pPr>
              <w:pStyle w:val="Paragraphedeliste"/>
              <w:numPr>
                <w:ilvl w:val="1"/>
                <w:numId w:val="13"/>
              </w:numPr>
              <w:rPr>
                <w:sz w:val="20"/>
                <w:szCs w:val="20"/>
              </w:rPr>
            </w:pPr>
            <w:r w:rsidRPr="00866947">
              <w:rPr>
                <w:sz w:val="20"/>
                <w:szCs w:val="20"/>
              </w:rPr>
              <w:t>le cout d</w:t>
            </w:r>
            <w:r>
              <w:rPr>
                <w:sz w:val="20"/>
                <w:szCs w:val="20"/>
              </w:rPr>
              <w:t>e l</w:t>
            </w:r>
            <w:r w:rsidRPr="00866947">
              <w:rPr>
                <w:sz w:val="20"/>
                <w:szCs w:val="20"/>
              </w:rPr>
              <w:t>’extension</w:t>
            </w:r>
            <w:r>
              <w:rPr>
                <w:sz w:val="20"/>
                <w:szCs w:val="20"/>
              </w:rPr>
              <w:t> ;</w:t>
            </w:r>
          </w:p>
          <w:p w:rsidR="004D761B" w:rsidRPr="00866947" w:rsidRDefault="004D761B" w:rsidP="004D761B">
            <w:pPr>
              <w:pStyle w:val="Paragraphedeliste"/>
              <w:numPr>
                <w:ilvl w:val="1"/>
                <w:numId w:val="13"/>
              </w:numPr>
              <w:rPr>
                <w:sz w:val="20"/>
                <w:szCs w:val="20"/>
              </w:rPr>
            </w:pPr>
            <w:r w:rsidRPr="00866947">
              <w:rPr>
                <w:sz w:val="20"/>
                <w:szCs w:val="20"/>
              </w:rPr>
              <w:t>le coût du raccordement</w:t>
            </w:r>
            <w:r>
              <w:rPr>
                <w:sz w:val="20"/>
                <w:szCs w:val="20"/>
              </w:rPr>
              <w:t> ;</w:t>
            </w:r>
            <w:r w:rsidRPr="00866947">
              <w:rPr>
                <w:sz w:val="20"/>
                <w:szCs w:val="20"/>
              </w:rPr>
              <w:t xml:space="preserve"> </w:t>
            </w:r>
          </w:p>
          <w:p w:rsidR="004D761B" w:rsidRPr="00B04BF8" w:rsidRDefault="004D761B" w:rsidP="004D761B">
            <w:pPr>
              <w:pStyle w:val="Paragraphedeliste"/>
              <w:numPr>
                <w:ilvl w:val="1"/>
                <w:numId w:val="13"/>
              </w:numPr>
              <w:rPr>
                <w:sz w:val="20"/>
                <w:szCs w:val="20"/>
              </w:rPr>
            </w:pPr>
            <w:r>
              <w:rPr>
                <w:sz w:val="20"/>
                <w:szCs w:val="20"/>
              </w:rPr>
              <w:t xml:space="preserve">les </w:t>
            </w:r>
            <w:r w:rsidRPr="00B04BF8">
              <w:rPr>
                <w:sz w:val="20"/>
                <w:szCs w:val="20"/>
              </w:rPr>
              <w:t>redevance</w:t>
            </w:r>
            <w:r>
              <w:rPr>
                <w:sz w:val="20"/>
                <w:szCs w:val="20"/>
              </w:rPr>
              <w:t xml:space="preserve">s annuelles </w:t>
            </w:r>
            <w:r w:rsidRPr="00B04BF8">
              <w:rPr>
                <w:sz w:val="20"/>
                <w:szCs w:val="20"/>
              </w:rPr>
              <w:t>"cabine</w:t>
            </w:r>
            <w:r>
              <w:rPr>
                <w:sz w:val="20"/>
                <w:szCs w:val="20"/>
              </w:rPr>
              <w:t xml:space="preserve"> ou poste de détente</w:t>
            </w:r>
            <w:r w:rsidRPr="00B04BF8">
              <w:rPr>
                <w:sz w:val="20"/>
                <w:szCs w:val="20"/>
              </w:rPr>
              <w:t>"</w:t>
            </w:r>
            <w:r w:rsidRPr="00B04BF8">
              <w:rPr>
                <w:sz w:val="20"/>
                <w:szCs w:val="20"/>
              </w:rPr>
              <w:tab/>
            </w:r>
            <w:r w:rsidRPr="00B04BF8">
              <w:rPr>
                <w:sz w:val="20"/>
                <w:szCs w:val="20"/>
              </w:rPr>
              <w:tab/>
            </w:r>
          </w:p>
          <w:p w:rsidR="004D761B" w:rsidRPr="00B04BF8" w:rsidRDefault="004D761B" w:rsidP="004D761B">
            <w:pPr>
              <w:pStyle w:val="Paragraphedeliste"/>
              <w:numPr>
                <w:ilvl w:val="0"/>
                <w:numId w:val="13"/>
              </w:numPr>
              <w:rPr>
                <w:sz w:val="20"/>
                <w:szCs w:val="20"/>
              </w:rPr>
            </w:pPr>
            <w:r w:rsidRPr="00B04BF8">
              <w:rPr>
                <w:sz w:val="20"/>
                <w:szCs w:val="20"/>
              </w:rPr>
              <w:t>toute condition exceptionnelle</w:t>
            </w:r>
            <w:r w:rsidRPr="00B04BF8">
              <w:rPr>
                <w:sz w:val="20"/>
                <w:szCs w:val="20"/>
              </w:rPr>
              <w:tab/>
            </w:r>
            <w:r w:rsidRPr="00B04BF8">
              <w:rPr>
                <w:sz w:val="20"/>
                <w:szCs w:val="20"/>
              </w:rPr>
              <w:tab/>
            </w:r>
          </w:p>
          <w:p w:rsidR="004D761B" w:rsidRPr="00B04BF8" w:rsidRDefault="004D761B" w:rsidP="004D761B">
            <w:pPr>
              <w:pStyle w:val="Paragraphedeliste"/>
              <w:numPr>
                <w:ilvl w:val="1"/>
                <w:numId w:val="13"/>
              </w:numPr>
              <w:rPr>
                <w:sz w:val="20"/>
                <w:szCs w:val="20"/>
              </w:rPr>
            </w:pPr>
            <w:r w:rsidRPr="00B04BF8">
              <w:rPr>
                <w:sz w:val="20"/>
                <w:szCs w:val="20"/>
              </w:rPr>
              <w:t xml:space="preserve">fonçage, </w:t>
            </w:r>
            <w:r>
              <w:rPr>
                <w:sz w:val="20"/>
                <w:szCs w:val="20"/>
              </w:rPr>
              <w:t xml:space="preserve">passage de pont, </w:t>
            </w:r>
            <w:r w:rsidRPr="00B04BF8">
              <w:rPr>
                <w:sz w:val="20"/>
                <w:szCs w:val="20"/>
              </w:rPr>
              <w:t>…</w:t>
            </w:r>
            <w:r w:rsidRPr="00B04BF8">
              <w:rPr>
                <w:sz w:val="20"/>
                <w:szCs w:val="20"/>
              </w:rPr>
              <w:tab/>
            </w:r>
            <w:r w:rsidRPr="00B04BF8">
              <w:rPr>
                <w:sz w:val="20"/>
                <w:szCs w:val="20"/>
              </w:rPr>
              <w:tab/>
            </w:r>
          </w:p>
          <w:p w:rsidR="004D761B" w:rsidRPr="00B04BF8" w:rsidRDefault="004D761B" w:rsidP="004D761B">
            <w:pPr>
              <w:rPr>
                <w:sz w:val="20"/>
                <w:szCs w:val="20"/>
              </w:rPr>
            </w:pPr>
            <w:r w:rsidRPr="00B04BF8">
              <w:rPr>
                <w:sz w:val="20"/>
                <w:szCs w:val="20"/>
              </w:rPr>
              <w:tab/>
            </w:r>
            <w:r w:rsidRPr="00B04BF8">
              <w:rPr>
                <w:sz w:val="20"/>
                <w:szCs w:val="20"/>
              </w:rPr>
              <w:tab/>
            </w:r>
          </w:p>
          <w:p w:rsidR="004D761B" w:rsidRDefault="004D761B" w:rsidP="004D761B">
            <w:pPr>
              <w:rPr>
                <w:sz w:val="20"/>
                <w:szCs w:val="20"/>
              </w:rPr>
            </w:pPr>
            <w:r w:rsidRPr="00B04BF8">
              <w:rPr>
                <w:sz w:val="20"/>
                <w:szCs w:val="20"/>
              </w:rPr>
              <w:t>Les  modalités d’affectation et de facturation des tarifs périodiques associés sont annexées aux grilles tarifaires</w:t>
            </w:r>
            <w:r>
              <w:rPr>
                <w:sz w:val="20"/>
                <w:szCs w:val="20"/>
              </w:rPr>
              <w:t>.</w:t>
            </w:r>
          </w:p>
          <w:p w:rsidR="004D761B" w:rsidRPr="00AA7825" w:rsidRDefault="004D761B" w:rsidP="004D761B">
            <w:pPr>
              <w:rPr>
                <w:sz w:val="20"/>
                <w:szCs w:val="20"/>
              </w:rPr>
            </w:pPr>
            <w:r w:rsidRPr="00B04BF8">
              <w:rPr>
                <w:sz w:val="20"/>
                <w:szCs w:val="20"/>
              </w:rPr>
              <w:tab/>
            </w:r>
            <w:r w:rsidRPr="00B04BF8">
              <w:rPr>
                <w:sz w:val="20"/>
                <w:szCs w:val="20"/>
              </w:rPr>
              <w:tab/>
            </w:r>
          </w:p>
        </w:tc>
      </w:tr>
      <w:tr w:rsidR="00DE5835" w:rsidRPr="00D30980" w:rsidTr="005E10AE">
        <w:trPr>
          <w:trHeight w:val="340"/>
        </w:trPr>
        <w:tc>
          <w:tcPr>
            <w:tcW w:w="8964" w:type="dxa"/>
            <w:gridSpan w:val="3"/>
            <w:shd w:val="clear" w:color="auto" w:fill="D9E2F3" w:themeFill="accent5" w:themeFillTint="33"/>
            <w:vAlign w:val="center"/>
          </w:tcPr>
          <w:p w:rsidR="00DE5835" w:rsidRPr="00D30980" w:rsidRDefault="00DE5835" w:rsidP="00FE17A1">
            <w:pPr>
              <w:rPr>
                <w:sz w:val="20"/>
                <w:szCs w:val="20"/>
              </w:rPr>
            </w:pPr>
            <w:r w:rsidRPr="000D2537">
              <w:rPr>
                <w:b/>
                <w:sz w:val="28"/>
              </w:rPr>
              <w:t>Remarques</w:t>
            </w:r>
          </w:p>
        </w:tc>
      </w:tr>
      <w:tr w:rsidR="00DE5835" w:rsidRPr="00D30980" w:rsidTr="00FE17A1">
        <w:trPr>
          <w:trHeight w:val="340"/>
        </w:trPr>
        <w:tc>
          <w:tcPr>
            <w:tcW w:w="8964" w:type="dxa"/>
            <w:gridSpan w:val="3"/>
            <w:vAlign w:val="center"/>
          </w:tcPr>
          <w:p w:rsidR="00DE5835" w:rsidRPr="00D30980" w:rsidRDefault="00DE5835" w:rsidP="00FE17A1">
            <w:pPr>
              <w:rPr>
                <w:sz w:val="20"/>
                <w:szCs w:val="20"/>
              </w:rPr>
            </w:pPr>
            <w:r w:rsidRPr="000D2537">
              <w:rPr>
                <w:sz w:val="20"/>
                <w:szCs w:val="20"/>
              </w:rPr>
              <w:t>Tous les prix sont indiqués hors TVA</w:t>
            </w:r>
            <w:r w:rsidR="005101C7">
              <w:rPr>
                <w:sz w:val="20"/>
                <w:szCs w:val="20"/>
              </w:rPr>
              <w:t>.</w:t>
            </w:r>
          </w:p>
        </w:tc>
      </w:tr>
    </w:tbl>
    <w:p w:rsidR="00EC6AFF" w:rsidRPr="00B04BF8" w:rsidRDefault="00B04BF8" w:rsidP="00B04BF8">
      <w:pPr>
        <w:tabs>
          <w:tab w:val="left" w:pos="1450"/>
        </w:tabs>
        <w:sectPr w:rsidR="00EC6AFF" w:rsidRPr="00B04BF8">
          <w:headerReference w:type="default" r:id="rId11"/>
          <w:pgSz w:w="11906" w:h="16838"/>
          <w:pgMar w:top="1417" w:right="1417" w:bottom="1417" w:left="1417" w:header="708" w:footer="708" w:gutter="0"/>
          <w:cols w:space="708"/>
          <w:docGrid w:linePitch="360"/>
        </w:sectPr>
      </w:pPr>
      <w:r>
        <w:tab/>
      </w:r>
    </w:p>
    <w:tbl>
      <w:tblPr>
        <w:tblStyle w:val="Grilledutableau"/>
        <w:tblW w:w="8964" w:type="dxa"/>
        <w:tblInd w:w="-5" w:type="dxa"/>
        <w:tblLayout w:type="fixed"/>
        <w:tblLook w:val="04A0" w:firstRow="1" w:lastRow="0" w:firstColumn="1" w:lastColumn="0" w:noHBand="0" w:noVBand="1"/>
      </w:tblPr>
      <w:tblGrid>
        <w:gridCol w:w="1134"/>
        <w:gridCol w:w="851"/>
        <w:gridCol w:w="709"/>
        <w:gridCol w:w="3543"/>
        <w:gridCol w:w="426"/>
        <w:gridCol w:w="567"/>
        <w:gridCol w:w="567"/>
        <w:gridCol w:w="1167"/>
      </w:tblGrid>
      <w:tr w:rsidR="00FE17A1" w:rsidRPr="00D30980" w:rsidTr="005E10AE">
        <w:trPr>
          <w:trHeight w:val="340"/>
        </w:trPr>
        <w:tc>
          <w:tcPr>
            <w:tcW w:w="8964" w:type="dxa"/>
            <w:gridSpan w:val="8"/>
            <w:shd w:val="clear" w:color="auto" w:fill="D9E2F3" w:themeFill="accent5" w:themeFillTint="33"/>
            <w:vAlign w:val="center"/>
          </w:tcPr>
          <w:p w:rsidR="00FE17A1" w:rsidRPr="005E10AE" w:rsidRDefault="00FE17A1" w:rsidP="0062548E">
            <w:pPr>
              <w:rPr>
                <w:b/>
                <w:sz w:val="28"/>
                <w:szCs w:val="28"/>
              </w:rPr>
            </w:pPr>
            <w:r w:rsidRPr="005E10AE">
              <w:rPr>
                <w:b/>
                <w:sz w:val="28"/>
                <w:szCs w:val="28"/>
              </w:rPr>
              <w:lastRenderedPageBreak/>
              <w:t>Cabines et Postes de détente</w:t>
            </w:r>
          </w:p>
        </w:tc>
      </w:tr>
      <w:tr w:rsidR="00FE17A1" w:rsidRPr="00F137E0" w:rsidTr="0062548E">
        <w:trPr>
          <w:trHeight w:val="340"/>
        </w:trPr>
        <w:tc>
          <w:tcPr>
            <w:tcW w:w="8964" w:type="dxa"/>
            <w:gridSpan w:val="8"/>
            <w:vAlign w:val="center"/>
          </w:tcPr>
          <w:p w:rsidR="00FE17A1" w:rsidRPr="00F137E0" w:rsidRDefault="00FE17A1" w:rsidP="0062548E">
            <w:pPr>
              <w:rPr>
                <w:sz w:val="20"/>
              </w:rPr>
            </w:pPr>
            <w:r w:rsidRPr="00F137E0">
              <w:rPr>
                <w:sz w:val="20"/>
              </w:rPr>
              <w:t>Pour des raisons d'exploitation ultérieure, la fourniture et l'installation d'une cabine ou d'un poste de détente chez un utilisateur du réseau est effectuée exclusivement par RESA</w:t>
            </w:r>
            <w:r w:rsidR="005101C7">
              <w:rPr>
                <w:sz w:val="20"/>
              </w:rPr>
              <w:t>.</w:t>
            </w:r>
          </w:p>
        </w:tc>
      </w:tr>
      <w:tr w:rsidR="00FE17A1" w:rsidRPr="00F137E0" w:rsidTr="0062548E">
        <w:trPr>
          <w:trHeight w:val="340"/>
        </w:trPr>
        <w:tc>
          <w:tcPr>
            <w:tcW w:w="8964" w:type="dxa"/>
            <w:gridSpan w:val="8"/>
            <w:vAlign w:val="center"/>
          </w:tcPr>
          <w:p w:rsidR="00FE17A1" w:rsidRPr="00F137E0" w:rsidRDefault="00FE17A1" w:rsidP="0062548E">
            <w:pPr>
              <w:rPr>
                <w:sz w:val="20"/>
              </w:rPr>
            </w:pPr>
            <w:r w:rsidRPr="00F137E0">
              <w:rPr>
                <w:sz w:val="20"/>
              </w:rPr>
              <w:t>La mise en place d'une cabine ou d'un poste de détente implique le payement du raccordement associé, du forfait d'installation et de la redevance annuelle</w:t>
            </w:r>
            <w:r w:rsidR="005101C7">
              <w:rPr>
                <w:sz w:val="20"/>
              </w:rPr>
              <w:t>.</w:t>
            </w:r>
          </w:p>
        </w:tc>
      </w:tr>
      <w:tr w:rsidR="00FE17A1" w:rsidRPr="0062548E" w:rsidTr="005E10AE">
        <w:trPr>
          <w:trHeight w:val="340"/>
        </w:trPr>
        <w:tc>
          <w:tcPr>
            <w:tcW w:w="8964" w:type="dxa"/>
            <w:gridSpan w:val="8"/>
            <w:shd w:val="clear" w:color="auto" w:fill="D9E2F3" w:themeFill="accent5" w:themeFillTint="33"/>
            <w:vAlign w:val="center"/>
          </w:tcPr>
          <w:p w:rsidR="00FE17A1" w:rsidRPr="005E10AE" w:rsidRDefault="00FE17A1" w:rsidP="00FE17A1">
            <w:pPr>
              <w:rPr>
                <w:b/>
                <w:sz w:val="28"/>
                <w:szCs w:val="28"/>
              </w:rPr>
            </w:pPr>
            <w:r w:rsidRPr="005E10AE">
              <w:rPr>
                <w:b/>
                <w:sz w:val="28"/>
                <w:szCs w:val="28"/>
              </w:rPr>
              <w:t>Forfait raccordement Cabine ou Poste de détente</w:t>
            </w:r>
          </w:p>
        </w:tc>
      </w:tr>
      <w:tr w:rsidR="00C86F51" w:rsidRPr="00AA7825" w:rsidTr="00B371EE">
        <w:trPr>
          <w:trHeight w:val="396"/>
        </w:trPr>
        <w:tc>
          <w:tcPr>
            <w:tcW w:w="7230" w:type="dxa"/>
            <w:gridSpan w:val="6"/>
            <w:vAlign w:val="center"/>
          </w:tcPr>
          <w:p w:rsidR="00C86F51" w:rsidRPr="00AA7825" w:rsidRDefault="00C86F51" w:rsidP="00C86F51">
            <w:pPr>
              <w:rPr>
                <w:sz w:val="20"/>
                <w:szCs w:val="20"/>
              </w:rPr>
            </w:pPr>
            <w:r w:rsidRPr="00AA7825">
              <w:rPr>
                <w:sz w:val="20"/>
                <w:szCs w:val="20"/>
              </w:rPr>
              <w:t xml:space="preserve">Raccordement </w:t>
            </w:r>
            <w:r w:rsidRPr="00C86F51">
              <w:rPr>
                <w:sz w:val="20"/>
                <w:szCs w:val="20"/>
              </w:rPr>
              <w:t>au départ du réseau MP type A B ou C</w:t>
            </w:r>
          </w:p>
        </w:tc>
        <w:tc>
          <w:tcPr>
            <w:tcW w:w="567" w:type="dxa"/>
            <w:vAlign w:val="center"/>
          </w:tcPr>
          <w:p w:rsidR="00C86F51" w:rsidRPr="00AA7825" w:rsidRDefault="00C86F51" w:rsidP="00B371EE">
            <w:pPr>
              <w:rPr>
                <w:sz w:val="20"/>
                <w:szCs w:val="20"/>
              </w:rPr>
            </w:pPr>
            <w:r w:rsidRPr="00AA7825">
              <w:rPr>
                <w:sz w:val="20"/>
                <w:szCs w:val="20"/>
              </w:rPr>
              <w:t>€</w:t>
            </w:r>
          </w:p>
        </w:tc>
        <w:tc>
          <w:tcPr>
            <w:tcW w:w="1167" w:type="dxa"/>
            <w:vAlign w:val="center"/>
          </w:tcPr>
          <w:p w:rsidR="00C86F51" w:rsidRPr="00AA7825" w:rsidRDefault="00C86F51" w:rsidP="00B371EE">
            <w:pPr>
              <w:jc w:val="right"/>
              <w:rPr>
                <w:sz w:val="20"/>
                <w:szCs w:val="20"/>
              </w:rPr>
            </w:pPr>
            <w:r>
              <w:rPr>
                <w:sz w:val="20"/>
                <w:szCs w:val="20"/>
              </w:rPr>
              <w:t>DEVIS</w:t>
            </w:r>
          </w:p>
        </w:tc>
      </w:tr>
      <w:tr w:rsidR="00FE17A1" w:rsidRPr="00D30980" w:rsidTr="00FE17A1">
        <w:trPr>
          <w:trHeight w:val="340"/>
        </w:trPr>
        <w:tc>
          <w:tcPr>
            <w:tcW w:w="8964" w:type="dxa"/>
            <w:gridSpan w:val="8"/>
            <w:vAlign w:val="center"/>
          </w:tcPr>
          <w:p w:rsidR="00FE17A1" w:rsidRPr="000D2537" w:rsidRDefault="00FE17A1" w:rsidP="00FE17A1">
            <w:pPr>
              <w:rPr>
                <w:sz w:val="20"/>
                <w:szCs w:val="20"/>
              </w:rPr>
            </w:pPr>
            <w:r w:rsidRPr="00FE17A1">
              <w:rPr>
                <w:sz w:val="20"/>
                <w:szCs w:val="20"/>
              </w:rPr>
              <w:t>Non compris, si nécessaire, le raccordement électrique BT permanent obligatoire, à fournir par le demandeur</w:t>
            </w:r>
            <w:r w:rsidR="00BF5C62">
              <w:rPr>
                <w:sz w:val="20"/>
                <w:szCs w:val="20"/>
              </w:rPr>
              <w:t>.</w:t>
            </w:r>
            <w:r w:rsidRPr="00FE17A1">
              <w:rPr>
                <w:sz w:val="20"/>
                <w:szCs w:val="20"/>
              </w:rPr>
              <w:tab/>
            </w:r>
            <w:r w:rsidRPr="00FE17A1">
              <w:rPr>
                <w:sz w:val="20"/>
                <w:szCs w:val="20"/>
              </w:rPr>
              <w:tab/>
            </w:r>
            <w:r w:rsidRPr="00FE17A1">
              <w:rPr>
                <w:sz w:val="20"/>
                <w:szCs w:val="20"/>
              </w:rPr>
              <w:tab/>
            </w:r>
            <w:r w:rsidRPr="00FE17A1">
              <w:rPr>
                <w:sz w:val="20"/>
                <w:szCs w:val="20"/>
              </w:rPr>
              <w:tab/>
            </w:r>
            <w:r w:rsidRPr="00FE17A1">
              <w:rPr>
                <w:sz w:val="20"/>
                <w:szCs w:val="20"/>
              </w:rPr>
              <w:tab/>
            </w:r>
            <w:r w:rsidRPr="00FE17A1">
              <w:rPr>
                <w:sz w:val="20"/>
                <w:szCs w:val="20"/>
              </w:rPr>
              <w:tab/>
            </w:r>
          </w:p>
        </w:tc>
      </w:tr>
      <w:tr w:rsidR="00FE17A1" w:rsidRPr="0062548E" w:rsidTr="005E10AE">
        <w:trPr>
          <w:trHeight w:val="340"/>
        </w:trPr>
        <w:tc>
          <w:tcPr>
            <w:tcW w:w="8964" w:type="dxa"/>
            <w:gridSpan w:val="8"/>
            <w:shd w:val="clear" w:color="auto" w:fill="D9E2F3" w:themeFill="accent5" w:themeFillTint="33"/>
            <w:vAlign w:val="center"/>
          </w:tcPr>
          <w:p w:rsidR="00FE17A1" w:rsidRPr="005E10AE" w:rsidRDefault="00FE17A1" w:rsidP="0062548E">
            <w:pPr>
              <w:rPr>
                <w:b/>
                <w:sz w:val="28"/>
                <w:szCs w:val="28"/>
              </w:rPr>
            </w:pPr>
            <w:r w:rsidRPr="005E10AE">
              <w:rPr>
                <w:b/>
                <w:sz w:val="28"/>
                <w:szCs w:val="28"/>
              </w:rPr>
              <w:t>Redevance annuelle</w:t>
            </w:r>
            <w:r w:rsidRPr="005E10AE">
              <w:rPr>
                <w:b/>
                <w:sz w:val="28"/>
                <w:szCs w:val="28"/>
              </w:rPr>
              <w:tab/>
            </w:r>
            <w:r w:rsidRPr="005E10AE">
              <w:rPr>
                <w:b/>
                <w:sz w:val="28"/>
                <w:szCs w:val="28"/>
              </w:rPr>
              <w:tab/>
            </w:r>
            <w:r w:rsidRPr="005E10AE">
              <w:rPr>
                <w:b/>
                <w:sz w:val="28"/>
                <w:szCs w:val="28"/>
              </w:rPr>
              <w:tab/>
            </w:r>
          </w:p>
        </w:tc>
      </w:tr>
      <w:tr w:rsidR="00F137E0" w:rsidRPr="0062548E" w:rsidTr="001676D7">
        <w:trPr>
          <w:trHeight w:val="340"/>
        </w:trPr>
        <w:tc>
          <w:tcPr>
            <w:tcW w:w="6237" w:type="dxa"/>
            <w:gridSpan w:val="4"/>
            <w:vAlign w:val="center"/>
          </w:tcPr>
          <w:p w:rsidR="00F137E0" w:rsidRPr="0062548E" w:rsidRDefault="00F137E0" w:rsidP="0062548E">
            <w:pPr>
              <w:rPr>
                <w:sz w:val="20"/>
                <w:szCs w:val="20"/>
              </w:rPr>
            </w:pPr>
            <w:r w:rsidRPr="00F137E0">
              <w:rPr>
                <w:sz w:val="20"/>
                <w:szCs w:val="20"/>
              </w:rPr>
              <w:t>CALIBRE   [Nm³/h]</w:t>
            </w:r>
          </w:p>
        </w:tc>
        <w:tc>
          <w:tcPr>
            <w:tcW w:w="426" w:type="dxa"/>
            <w:vAlign w:val="center"/>
          </w:tcPr>
          <w:p w:rsidR="00F137E0" w:rsidRPr="0062548E" w:rsidRDefault="00F137E0" w:rsidP="0062548E">
            <w:pPr>
              <w:rPr>
                <w:sz w:val="20"/>
                <w:szCs w:val="20"/>
              </w:rPr>
            </w:pPr>
          </w:p>
        </w:tc>
        <w:tc>
          <w:tcPr>
            <w:tcW w:w="1134" w:type="dxa"/>
            <w:gridSpan w:val="2"/>
            <w:shd w:val="clear" w:color="auto" w:fill="D9E2F3" w:themeFill="accent5" w:themeFillTint="33"/>
            <w:vAlign w:val="center"/>
          </w:tcPr>
          <w:p w:rsidR="00F137E0" w:rsidRPr="0062548E" w:rsidRDefault="00F137E0" w:rsidP="001676D7">
            <w:pPr>
              <w:jc w:val="center"/>
              <w:rPr>
                <w:sz w:val="20"/>
                <w:szCs w:val="20"/>
              </w:rPr>
            </w:pPr>
            <w:r w:rsidRPr="0062548E">
              <w:rPr>
                <w:sz w:val="20"/>
                <w:szCs w:val="20"/>
              </w:rPr>
              <w:t>1 LIGNE</w:t>
            </w:r>
          </w:p>
        </w:tc>
        <w:tc>
          <w:tcPr>
            <w:tcW w:w="1167" w:type="dxa"/>
            <w:shd w:val="clear" w:color="auto" w:fill="D9E2F3" w:themeFill="accent5" w:themeFillTint="33"/>
            <w:vAlign w:val="center"/>
          </w:tcPr>
          <w:p w:rsidR="00F137E0" w:rsidRPr="0062548E" w:rsidRDefault="00F137E0" w:rsidP="001676D7">
            <w:pPr>
              <w:jc w:val="center"/>
              <w:rPr>
                <w:sz w:val="20"/>
                <w:szCs w:val="20"/>
              </w:rPr>
            </w:pPr>
            <w:r w:rsidRPr="0062548E">
              <w:rPr>
                <w:sz w:val="20"/>
                <w:szCs w:val="20"/>
              </w:rPr>
              <w:t>2 LIGNES</w:t>
            </w:r>
          </w:p>
        </w:tc>
      </w:tr>
      <w:tr w:rsidR="0029212E" w:rsidRPr="0062548E" w:rsidTr="005101C7">
        <w:trPr>
          <w:trHeight w:val="340"/>
        </w:trPr>
        <w:tc>
          <w:tcPr>
            <w:tcW w:w="1134" w:type="dxa"/>
            <w:tcBorders>
              <w:right w:val="nil"/>
            </w:tcBorders>
            <w:vAlign w:val="center"/>
          </w:tcPr>
          <w:p w:rsidR="0029212E" w:rsidRPr="0062548E" w:rsidRDefault="0029212E" w:rsidP="0029212E">
            <w:pPr>
              <w:jc w:val="right"/>
              <w:rPr>
                <w:sz w:val="20"/>
                <w:szCs w:val="20"/>
              </w:rPr>
            </w:pPr>
            <w:r>
              <w:rPr>
                <w:sz w:val="20"/>
                <w:szCs w:val="20"/>
              </w:rPr>
              <w:t>40</w:t>
            </w:r>
          </w:p>
        </w:tc>
        <w:tc>
          <w:tcPr>
            <w:tcW w:w="851" w:type="dxa"/>
            <w:tcBorders>
              <w:left w:val="nil"/>
              <w:right w:val="nil"/>
            </w:tcBorders>
            <w:vAlign w:val="center"/>
          </w:tcPr>
          <w:p w:rsidR="0029212E" w:rsidRPr="0062548E" w:rsidRDefault="0029212E" w:rsidP="0029212E">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29212E" w:rsidRPr="0062548E" w:rsidRDefault="0029212E" w:rsidP="0029212E">
            <w:pPr>
              <w:jc w:val="right"/>
              <w:rPr>
                <w:sz w:val="20"/>
                <w:szCs w:val="20"/>
              </w:rPr>
            </w:pPr>
            <w:r>
              <w:rPr>
                <w:sz w:val="20"/>
                <w:szCs w:val="20"/>
              </w:rPr>
              <w:t>6</w:t>
            </w:r>
            <w:r w:rsidRPr="00F137E0">
              <w:rPr>
                <w:sz w:val="20"/>
                <w:szCs w:val="20"/>
              </w:rPr>
              <w:t>0</w:t>
            </w:r>
          </w:p>
        </w:tc>
        <w:tc>
          <w:tcPr>
            <w:tcW w:w="3543" w:type="dxa"/>
            <w:tcBorders>
              <w:left w:val="nil"/>
            </w:tcBorders>
            <w:vAlign w:val="center"/>
          </w:tcPr>
          <w:p w:rsidR="0029212E" w:rsidRPr="0062548E" w:rsidRDefault="0029212E" w:rsidP="0029212E">
            <w:pPr>
              <w:rPr>
                <w:sz w:val="20"/>
                <w:szCs w:val="20"/>
              </w:rPr>
            </w:pPr>
          </w:p>
        </w:tc>
        <w:tc>
          <w:tcPr>
            <w:tcW w:w="426" w:type="dxa"/>
            <w:vAlign w:val="center"/>
          </w:tcPr>
          <w:p w:rsidR="0029212E" w:rsidRPr="0062548E" w:rsidRDefault="0029212E" w:rsidP="0029212E">
            <w:pPr>
              <w:rPr>
                <w:sz w:val="20"/>
                <w:szCs w:val="20"/>
              </w:rPr>
            </w:pPr>
            <w:r w:rsidRPr="0062548E">
              <w:rPr>
                <w:sz w:val="20"/>
                <w:szCs w:val="20"/>
              </w:rPr>
              <w:t>€</w:t>
            </w:r>
          </w:p>
        </w:tc>
        <w:tc>
          <w:tcPr>
            <w:tcW w:w="1134" w:type="dxa"/>
            <w:gridSpan w:val="2"/>
            <w:vAlign w:val="center"/>
          </w:tcPr>
          <w:p w:rsidR="0029212E" w:rsidRPr="0029212E" w:rsidRDefault="0029212E" w:rsidP="0029212E">
            <w:pPr>
              <w:jc w:val="right"/>
              <w:rPr>
                <w:sz w:val="20"/>
                <w:szCs w:val="20"/>
              </w:rPr>
            </w:pPr>
            <w:r w:rsidRPr="0029212E">
              <w:rPr>
                <w:sz w:val="20"/>
                <w:szCs w:val="20"/>
              </w:rPr>
              <w:t>1.807,26</w:t>
            </w:r>
          </w:p>
        </w:tc>
        <w:tc>
          <w:tcPr>
            <w:tcW w:w="1167" w:type="dxa"/>
            <w:vAlign w:val="center"/>
          </w:tcPr>
          <w:p w:rsidR="0029212E" w:rsidRPr="001676D7" w:rsidRDefault="0029212E" w:rsidP="0029212E">
            <w:pPr>
              <w:jc w:val="right"/>
              <w:rPr>
                <w:sz w:val="20"/>
                <w:szCs w:val="20"/>
              </w:rPr>
            </w:pPr>
          </w:p>
        </w:tc>
      </w:tr>
      <w:tr w:rsidR="0029212E" w:rsidRPr="0062548E" w:rsidTr="005101C7">
        <w:trPr>
          <w:trHeight w:val="340"/>
        </w:trPr>
        <w:tc>
          <w:tcPr>
            <w:tcW w:w="1134" w:type="dxa"/>
            <w:tcBorders>
              <w:right w:val="nil"/>
            </w:tcBorders>
            <w:vAlign w:val="center"/>
          </w:tcPr>
          <w:p w:rsidR="0029212E" w:rsidRPr="0062548E" w:rsidRDefault="0029212E" w:rsidP="0029212E">
            <w:pPr>
              <w:jc w:val="right"/>
              <w:rPr>
                <w:sz w:val="20"/>
                <w:szCs w:val="20"/>
              </w:rPr>
            </w:pPr>
            <w:r>
              <w:rPr>
                <w:sz w:val="20"/>
                <w:szCs w:val="20"/>
              </w:rPr>
              <w:t>60</w:t>
            </w:r>
          </w:p>
        </w:tc>
        <w:tc>
          <w:tcPr>
            <w:tcW w:w="851" w:type="dxa"/>
            <w:tcBorders>
              <w:left w:val="nil"/>
              <w:right w:val="nil"/>
            </w:tcBorders>
            <w:vAlign w:val="center"/>
          </w:tcPr>
          <w:p w:rsidR="0029212E" w:rsidRPr="0062548E" w:rsidRDefault="0029212E" w:rsidP="0029212E">
            <w:pPr>
              <w:ind w:left="92"/>
              <w:rPr>
                <w:sz w:val="20"/>
                <w:szCs w:val="20"/>
              </w:rPr>
            </w:pPr>
            <w:r>
              <w:rPr>
                <w:sz w:val="20"/>
                <w:szCs w:val="20"/>
              </w:rPr>
              <w:t xml:space="preserve">&lt; </w:t>
            </w:r>
            <w:r w:rsidRPr="00F137E0">
              <w:rPr>
                <w:sz w:val="20"/>
                <w:szCs w:val="20"/>
              </w:rPr>
              <w:t>D ≤</w:t>
            </w:r>
          </w:p>
        </w:tc>
        <w:tc>
          <w:tcPr>
            <w:tcW w:w="709" w:type="dxa"/>
            <w:tcBorders>
              <w:left w:val="nil"/>
              <w:right w:val="nil"/>
            </w:tcBorders>
            <w:vAlign w:val="center"/>
          </w:tcPr>
          <w:p w:rsidR="0029212E" w:rsidRPr="0062548E" w:rsidRDefault="0029212E" w:rsidP="0029212E">
            <w:pPr>
              <w:jc w:val="right"/>
              <w:rPr>
                <w:sz w:val="20"/>
                <w:szCs w:val="20"/>
              </w:rPr>
            </w:pPr>
            <w:r>
              <w:rPr>
                <w:sz w:val="20"/>
                <w:szCs w:val="20"/>
              </w:rPr>
              <w:t>10</w:t>
            </w:r>
            <w:r w:rsidRPr="00F137E0">
              <w:rPr>
                <w:sz w:val="20"/>
                <w:szCs w:val="20"/>
              </w:rPr>
              <w:t>0</w:t>
            </w:r>
          </w:p>
        </w:tc>
        <w:tc>
          <w:tcPr>
            <w:tcW w:w="3543" w:type="dxa"/>
            <w:tcBorders>
              <w:left w:val="nil"/>
            </w:tcBorders>
            <w:vAlign w:val="center"/>
          </w:tcPr>
          <w:p w:rsidR="0029212E" w:rsidRPr="0062548E" w:rsidRDefault="0029212E" w:rsidP="0029212E">
            <w:pPr>
              <w:rPr>
                <w:sz w:val="20"/>
                <w:szCs w:val="20"/>
              </w:rPr>
            </w:pPr>
          </w:p>
        </w:tc>
        <w:tc>
          <w:tcPr>
            <w:tcW w:w="426" w:type="dxa"/>
            <w:vAlign w:val="center"/>
          </w:tcPr>
          <w:p w:rsidR="0029212E" w:rsidRPr="0062548E" w:rsidRDefault="0029212E" w:rsidP="0029212E">
            <w:pPr>
              <w:rPr>
                <w:sz w:val="20"/>
                <w:szCs w:val="20"/>
              </w:rPr>
            </w:pPr>
            <w:r w:rsidRPr="0062548E">
              <w:rPr>
                <w:sz w:val="20"/>
                <w:szCs w:val="20"/>
              </w:rPr>
              <w:t>€</w:t>
            </w:r>
          </w:p>
        </w:tc>
        <w:tc>
          <w:tcPr>
            <w:tcW w:w="1134" w:type="dxa"/>
            <w:gridSpan w:val="2"/>
            <w:vAlign w:val="center"/>
          </w:tcPr>
          <w:p w:rsidR="0029212E" w:rsidRPr="0029212E" w:rsidRDefault="0029212E" w:rsidP="0029212E">
            <w:pPr>
              <w:jc w:val="right"/>
              <w:rPr>
                <w:sz w:val="20"/>
                <w:szCs w:val="20"/>
              </w:rPr>
            </w:pPr>
            <w:r w:rsidRPr="0029212E">
              <w:rPr>
                <w:sz w:val="20"/>
                <w:szCs w:val="20"/>
              </w:rPr>
              <w:t>1.807,26</w:t>
            </w:r>
          </w:p>
        </w:tc>
        <w:tc>
          <w:tcPr>
            <w:tcW w:w="1167" w:type="dxa"/>
            <w:vAlign w:val="center"/>
          </w:tcPr>
          <w:p w:rsidR="0029212E" w:rsidRPr="001676D7" w:rsidRDefault="0029212E" w:rsidP="0029212E">
            <w:pPr>
              <w:jc w:val="right"/>
              <w:rPr>
                <w:sz w:val="20"/>
                <w:szCs w:val="20"/>
              </w:rPr>
            </w:pPr>
          </w:p>
        </w:tc>
      </w:tr>
      <w:tr w:rsidR="0029212E" w:rsidRPr="0062548E" w:rsidTr="005101C7">
        <w:trPr>
          <w:trHeight w:val="340"/>
        </w:trPr>
        <w:tc>
          <w:tcPr>
            <w:tcW w:w="1134" w:type="dxa"/>
            <w:tcBorders>
              <w:right w:val="nil"/>
            </w:tcBorders>
            <w:vAlign w:val="center"/>
          </w:tcPr>
          <w:p w:rsidR="0029212E" w:rsidRPr="0062548E" w:rsidRDefault="0029212E" w:rsidP="0029212E">
            <w:pPr>
              <w:jc w:val="right"/>
              <w:rPr>
                <w:sz w:val="20"/>
                <w:szCs w:val="20"/>
              </w:rPr>
            </w:pPr>
            <w:r>
              <w:rPr>
                <w:sz w:val="20"/>
                <w:szCs w:val="20"/>
              </w:rPr>
              <w:t>100</w:t>
            </w:r>
          </w:p>
        </w:tc>
        <w:tc>
          <w:tcPr>
            <w:tcW w:w="851" w:type="dxa"/>
            <w:tcBorders>
              <w:left w:val="nil"/>
              <w:right w:val="nil"/>
            </w:tcBorders>
            <w:vAlign w:val="center"/>
          </w:tcPr>
          <w:p w:rsidR="0029212E" w:rsidRPr="0062548E" w:rsidRDefault="0029212E" w:rsidP="0029212E">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29212E" w:rsidRPr="0062548E" w:rsidRDefault="0029212E" w:rsidP="0029212E">
            <w:pPr>
              <w:jc w:val="right"/>
              <w:rPr>
                <w:sz w:val="20"/>
                <w:szCs w:val="20"/>
              </w:rPr>
            </w:pPr>
            <w:r>
              <w:rPr>
                <w:sz w:val="20"/>
                <w:szCs w:val="20"/>
              </w:rPr>
              <w:t>160</w:t>
            </w:r>
          </w:p>
        </w:tc>
        <w:tc>
          <w:tcPr>
            <w:tcW w:w="3543" w:type="dxa"/>
            <w:tcBorders>
              <w:left w:val="nil"/>
            </w:tcBorders>
            <w:vAlign w:val="center"/>
          </w:tcPr>
          <w:p w:rsidR="0029212E" w:rsidRPr="0062548E" w:rsidRDefault="0029212E" w:rsidP="0029212E">
            <w:pPr>
              <w:rPr>
                <w:sz w:val="20"/>
                <w:szCs w:val="20"/>
              </w:rPr>
            </w:pPr>
          </w:p>
        </w:tc>
        <w:tc>
          <w:tcPr>
            <w:tcW w:w="426" w:type="dxa"/>
            <w:vAlign w:val="center"/>
          </w:tcPr>
          <w:p w:rsidR="0029212E" w:rsidRPr="0062548E" w:rsidRDefault="0029212E" w:rsidP="0029212E">
            <w:pPr>
              <w:rPr>
                <w:sz w:val="20"/>
                <w:szCs w:val="20"/>
              </w:rPr>
            </w:pPr>
            <w:r w:rsidRPr="0062548E">
              <w:rPr>
                <w:sz w:val="20"/>
                <w:szCs w:val="20"/>
              </w:rPr>
              <w:t>€</w:t>
            </w:r>
          </w:p>
        </w:tc>
        <w:tc>
          <w:tcPr>
            <w:tcW w:w="1134" w:type="dxa"/>
            <w:gridSpan w:val="2"/>
            <w:vAlign w:val="center"/>
          </w:tcPr>
          <w:p w:rsidR="0029212E" w:rsidRPr="0029212E" w:rsidRDefault="0029212E" w:rsidP="0029212E">
            <w:pPr>
              <w:jc w:val="right"/>
              <w:rPr>
                <w:sz w:val="20"/>
                <w:szCs w:val="20"/>
              </w:rPr>
            </w:pPr>
            <w:r w:rsidRPr="0029212E">
              <w:rPr>
                <w:sz w:val="20"/>
                <w:szCs w:val="20"/>
              </w:rPr>
              <w:t>2.379,54</w:t>
            </w:r>
          </w:p>
        </w:tc>
        <w:tc>
          <w:tcPr>
            <w:tcW w:w="1167" w:type="dxa"/>
            <w:vAlign w:val="center"/>
          </w:tcPr>
          <w:p w:rsidR="0029212E" w:rsidRPr="0029212E" w:rsidRDefault="0029212E" w:rsidP="0029212E">
            <w:pPr>
              <w:jc w:val="right"/>
              <w:rPr>
                <w:sz w:val="20"/>
                <w:szCs w:val="20"/>
              </w:rPr>
            </w:pPr>
          </w:p>
        </w:tc>
      </w:tr>
      <w:tr w:rsidR="00BD09F4" w:rsidRPr="0062548E" w:rsidTr="005101C7">
        <w:trPr>
          <w:trHeight w:val="340"/>
        </w:trPr>
        <w:tc>
          <w:tcPr>
            <w:tcW w:w="1134" w:type="dxa"/>
            <w:tcBorders>
              <w:right w:val="nil"/>
            </w:tcBorders>
            <w:vAlign w:val="center"/>
          </w:tcPr>
          <w:p w:rsidR="00BD09F4" w:rsidRPr="0062548E" w:rsidRDefault="00BD09F4" w:rsidP="00BD09F4">
            <w:pPr>
              <w:jc w:val="right"/>
              <w:rPr>
                <w:sz w:val="20"/>
                <w:szCs w:val="20"/>
              </w:rPr>
            </w:pPr>
            <w:r>
              <w:rPr>
                <w:sz w:val="20"/>
                <w:szCs w:val="20"/>
              </w:rPr>
              <w:t>160</w:t>
            </w:r>
          </w:p>
        </w:tc>
        <w:tc>
          <w:tcPr>
            <w:tcW w:w="851" w:type="dxa"/>
            <w:tcBorders>
              <w:left w:val="nil"/>
              <w:right w:val="nil"/>
            </w:tcBorders>
            <w:vAlign w:val="center"/>
          </w:tcPr>
          <w:p w:rsidR="00BD09F4" w:rsidRPr="0062548E" w:rsidRDefault="00BD09F4" w:rsidP="00BD09F4">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BD09F4" w:rsidRPr="0062548E" w:rsidRDefault="00BD09F4" w:rsidP="00BD09F4">
            <w:pPr>
              <w:jc w:val="right"/>
              <w:rPr>
                <w:sz w:val="20"/>
                <w:szCs w:val="20"/>
              </w:rPr>
            </w:pPr>
            <w:r>
              <w:rPr>
                <w:sz w:val="20"/>
                <w:szCs w:val="20"/>
              </w:rPr>
              <w:t>250</w:t>
            </w:r>
          </w:p>
        </w:tc>
        <w:tc>
          <w:tcPr>
            <w:tcW w:w="3543" w:type="dxa"/>
            <w:tcBorders>
              <w:left w:val="nil"/>
            </w:tcBorders>
            <w:vAlign w:val="center"/>
          </w:tcPr>
          <w:p w:rsidR="00BD09F4" w:rsidRPr="0062548E" w:rsidRDefault="00BD09F4" w:rsidP="00BD09F4">
            <w:pPr>
              <w:rPr>
                <w:sz w:val="20"/>
                <w:szCs w:val="20"/>
              </w:rPr>
            </w:pPr>
          </w:p>
        </w:tc>
        <w:tc>
          <w:tcPr>
            <w:tcW w:w="426" w:type="dxa"/>
            <w:vAlign w:val="center"/>
          </w:tcPr>
          <w:p w:rsidR="00BD09F4" w:rsidRPr="0062548E" w:rsidRDefault="00BD09F4" w:rsidP="00BD09F4">
            <w:pPr>
              <w:rPr>
                <w:sz w:val="20"/>
                <w:szCs w:val="20"/>
              </w:rPr>
            </w:pPr>
            <w:r w:rsidRPr="0062548E">
              <w:rPr>
                <w:sz w:val="20"/>
                <w:szCs w:val="20"/>
              </w:rPr>
              <w:t>€</w:t>
            </w:r>
          </w:p>
        </w:tc>
        <w:tc>
          <w:tcPr>
            <w:tcW w:w="1134" w:type="dxa"/>
            <w:gridSpan w:val="2"/>
            <w:vAlign w:val="center"/>
          </w:tcPr>
          <w:p w:rsidR="00BD09F4" w:rsidRPr="0029212E" w:rsidRDefault="00BD09F4" w:rsidP="00BD09F4">
            <w:pPr>
              <w:jc w:val="right"/>
              <w:rPr>
                <w:sz w:val="20"/>
                <w:szCs w:val="20"/>
              </w:rPr>
            </w:pPr>
            <w:r w:rsidRPr="0029212E">
              <w:rPr>
                <w:sz w:val="20"/>
                <w:szCs w:val="20"/>
              </w:rPr>
              <w:t>3.394,33</w:t>
            </w:r>
          </w:p>
        </w:tc>
        <w:tc>
          <w:tcPr>
            <w:tcW w:w="1167" w:type="dxa"/>
            <w:vAlign w:val="center"/>
          </w:tcPr>
          <w:p w:rsidR="00BD09F4" w:rsidRPr="00BD09F4" w:rsidRDefault="00BD09F4" w:rsidP="00BD09F4">
            <w:pPr>
              <w:jc w:val="right"/>
              <w:rPr>
                <w:sz w:val="20"/>
                <w:szCs w:val="20"/>
              </w:rPr>
            </w:pPr>
            <w:r w:rsidRPr="00BD09F4">
              <w:rPr>
                <w:sz w:val="20"/>
                <w:szCs w:val="20"/>
              </w:rPr>
              <w:t>3.818,74</w:t>
            </w:r>
          </w:p>
        </w:tc>
      </w:tr>
      <w:tr w:rsidR="00BD09F4" w:rsidRPr="0062548E" w:rsidTr="005101C7">
        <w:trPr>
          <w:trHeight w:val="340"/>
        </w:trPr>
        <w:tc>
          <w:tcPr>
            <w:tcW w:w="1134" w:type="dxa"/>
            <w:tcBorders>
              <w:right w:val="nil"/>
            </w:tcBorders>
            <w:vAlign w:val="center"/>
          </w:tcPr>
          <w:p w:rsidR="00BD09F4" w:rsidRPr="0062548E" w:rsidRDefault="00BD09F4" w:rsidP="00BD09F4">
            <w:pPr>
              <w:jc w:val="right"/>
              <w:rPr>
                <w:sz w:val="20"/>
                <w:szCs w:val="20"/>
              </w:rPr>
            </w:pPr>
            <w:r>
              <w:rPr>
                <w:sz w:val="20"/>
                <w:szCs w:val="20"/>
              </w:rPr>
              <w:t>250</w:t>
            </w:r>
          </w:p>
        </w:tc>
        <w:tc>
          <w:tcPr>
            <w:tcW w:w="851" w:type="dxa"/>
            <w:tcBorders>
              <w:left w:val="nil"/>
              <w:right w:val="nil"/>
            </w:tcBorders>
            <w:vAlign w:val="center"/>
          </w:tcPr>
          <w:p w:rsidR="00BD09F4" w:rsidRPr="0062548E" w:rsidRDefault="00BD09F4" w:rsidP="00BD09F4">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BD09F4" w:rsidRPr="0062548E" w:rsidRDefault="00BD09F4" w:rsidP="00BD09F4">
            <w:pPr>
              <w:jc w:val="right"/>
              <w:rPr>
                <w:sz w:val="20"/>
                <w:szCs w:val="20"/>
              </w:rPr>
            </w:pPr>
            <w:r w:rsidRPr="00F137E0">
              <w:rPr>
                <w:sz w:val="20"/>
                <w:szCs w:val="20"/>
              </w:rPr>
              <w:t>4</w:t>
            </w:r>
            <w:r>
              <w:rPr>
                <w:sz w:val="20"/>
                <w:szCs w:val="20"/>
              </w:rPr>
              <w:t>0</w:t>
            </w:r>
            <w:r w:rsidRPr="00F137E0">
              <w:rPr>
                <w:sz w:val="20"/>
                <w:szCs w:val="20"/>
              </w:rPr>
              <w:t>0</w:t>
            </w:r>
          </w:p>
        </w:tc>
        <w:tc>
          <w:tcPr>
            <w:tcW w:w="3543" w:type="dxa"/>
            <w:tcBorders>
              <w:left w:val="nil"/>
            </w:tcBorders>
            <w:vAlign w:val="center"/>
          </w:tcPr>
          <w:p w:rsidR="00BD09F4" w:rsidRPr="0062548E" w:rsidRDefault="00BD09F4" w:rsidP="00BD09F4">
            <w:pPr>
              <w:rPr>
                <w:sz w:val="20"/>
                <w:szCs w:val="20"/>
              </w:rPr>
            </w:pPr>
          </w:p>
        </w:tc>
        <w:tc>
          <w:tcPr>
            <w:tcW w:w="426" w:type="dxa"/>
            <w:vAlign w:val="center"/>
          </w:tcPr>
          <w:p w:rsidR="00BD09F4" w:rsidRPr="0062548E" w:rsidRDefault="00BD09F4" w:rsidP="00BD09F4">
            <w:pPr>
              <w:rPr>
                <w:sz w:val="20"/>
                <w:szCs w:val="20"/>
              </w:rPr>
            </w:pPr>
            <w:r w:rsidRPr="0062548E">
              <w:rPr>
                <w:sz w:val="20"/>
                <w:szCs w:val="20"/>
              </w:rPr>
              <w:t>€</w:t>
            </w:r>
          </w:p>
        </w:tc>
        <w:tc>
          <w:tcPr>
            <w:tcW w:w="1134" w:type="dxa"/>
            <w:gridSpan w:val="2"/>
            <w:vAlign w:val="center"/>
          </w:tcPr>
          <w:p w:rsidR="00BD09F4" w:rsidRPr="0029212E" w:rsidRDefault="00BD09F4" w:rsidP="00BD09F4">
            <w:pPr>
              <w:jc w:val="right"/>
              <w:rPr>
                <w:sz w:val="20"/>
                <w:szCs w:val="20"/>
              </w:rPr>
            </w:pPr>
            <w:r w:rsidRPr="0029212E">
              <w:rPr>
                <w:sz w:val="20"/>
                <w:szCs w:val="20"/>
              </w:rPr>
              <w:t>4.189,98</w:t>
            </w:r>
          </w:p>
        </w:tc>
        <w:tc>
          <w:tcPr>
            <w:tcW w:w="1167" w:type="dxa"/>
            <w:vAlign w:val="center"/>
          </w:tcPr>
          <w:p w:rsidR="00BD09F4" w:rsidRPr="00BD09F4" w:rsidRDefault="00BD09F4" w:rsidP="00BD09F4">
            <w:pPr>
              <w:jc w:val="right"/>
              <w:rPr>
                <w:sz w:val="20"/>
                <w:szCs w:val="20"/>
              </w:rPr>
            </w:pPr>
            <w:r w:rsidRPr="00BD09F4">
              <w:rPr>
                <w:sz w:val="20"/>
                <w:szCs w:val="20"/>
              </w:rPr>
              <w:t>4.595,26</w:t>
            </w:r>
          </w:p>
        </w:tc>
      </w:tr>
      <w:tr w:rsidR="00BD09F4" w:rsidRPr="0062548E" w:rsidTr="005101C7">
        <w:trPr>
          <w:trHeight w:val="340"/>
        </w:trPr>
        <w:tc>
          <w:tcPr>
            <w:tcW w:w="1134" w:type="dxa"/>
            <w:tcBorders>
              <w:right w:val="nil"/>
            </w:tcBorders>
            <w:vAlign w:val="center"/>
          </w:tcPr>
          <w:p w:rsidR="00BD09F4" w:rsidRPr="0062548E" w:rsidRDefault="00BD09F4" w:rsidP="00BD09F4">
            <w:pPr>
              <w:jc w:val="right"/>
              <w:rPr>
                <w:sz w:val="20"/>
                <w:szCs w:val="20"/>
              </w:rPr>
            </w:pPr>
            <w:r w:rsidRPr="00F137E0">
              <w:rPr>
                <w:sz w:val="20"/>
                <w:szCs w:val="20"/>
              </w:rPr>
              <w:t>40</w:t>
            </w:r>
            <w:r>
              <w:rPr>
                <w:sz w:val="20"/>
                <w:szCs w:val="20"/>
              </w:rPr>
              <w:t>0</w:t>
            </w:r>
          </w:p>
        </w:tc>
        <w:tc>
          <w:tcPr>
            <w:tcW w:w="851" w:type="dxa"/>
            <w:tcBorders>
              <w:left w:val="nil"/>
              <w:right w:val="nil"/>
            </w:tcBorders>
            <w:vAlign w:val="center"/>
          </w:tcPr>
          <w:p w:rsidR="00BD09F4" w:rsidRPr="0062548E" w:rsidRDefault="00BD09F4" w:rsidP="00BD09F4">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BD09F4" w:rsidRPr="0062548E" w:rsidRDefault="00BD09F4" w:rsidP="00BD09F4">
            <w:pPr>
              <w:jc w:val="right"/>
              <w:rPr>
                <w:sz w:val="20"/>
                <w:szCs w:val="20"/>
              </w:rPr>
            </w:pPr>
            <w:r>
              <w:rPr>
                <w:sz w:val="20"/>
                <w:szCs w:val="20"/>
              </w:rPr>
              <w:t>650</w:t>
            </w:r>
          </w:p>
        </w:tc>
        <w:tc>
          <w:tcPr>
            <w:tcW w:w="3543" w:type="dxa"/>
            <w:tcBorders>
              <w:left w:val="nil"/>
            </w:tcBorders>
            <w:vAlign w:val="center"/>
          </w:tcPr>
          <w:p w:rsidR="00BD09F4" w:rsidRPr="0062548E" w:rsidRDefault="00BD09F4" w:rsidP="00BD09F4">
            <w:pPr>
              <w:rPr>
                <w:sz w:val="20"/>
                <w:szCs w:val="20"/>
              </w:rPr>
            </w:pPr>
          </w:p>
        </w:tc>
        <w:tc>
          <w:tcPr>
            <w:tcW w:w="426" w:type="dxa"/>
            <w:vAlign w:val="center"/>
          </w:tcPr>
          <w:p w:rsidR="00BD09F4" w:rsidRPr="0062548E" w:rsidRDefault="00BD09F4" w:rsidP="00BD09F4">
            <w:pPr>
              <w:rPr>
                <w:sz w:val="20"/>
                <w:szCs w:val="20"/>
              </w:rPr>
            </w:pPr>
            <w:r w:rsidRPr="0062548E">
              <w:rPr>
                <w:sz w:val="20"/>
                <w:szCs w:val="20"/>
              </w:rPr>
              <w:t>€</w:t>
            </w:r>
          </w:p>
        </w:tc>
        <w:tc>
          <w:tcPr>
            <w:tcW w:w="1134" w:type="dxa"/>
            <w:gridSpan w:val="2"/>
            <w:vAlign w:val="center"/>
          </w:tcPr>
          <w:p w:rsidR="00BD09F4" w:rsidRPr="0029212E" w:rsidRDefault="00BD09F4" w:rsidP="00BD09F4">
            <w:pPr>
              <w:jc w:val="right"/>
              <w:rPr>
                <w:sz w:val="20"/>
                <w:szCs w:val="20"/>
              </w:rPr>
            </w:pPr>
            <w:r w:rsidRPr="0029212E">
              <w:rPr>
                <w:sz w:val="20"/>
                <w:szCs w:val="20"/>
              </w:rPr>
              <w:t>4.905,87</w:t>
            </w:r>
          </w:p>
        </w:tc>
        <w:tc>
          <w:tcPr>
            <w:tcW w:w="1167" w:type="dxa"/>
            <w:vAlign w:val="center"/>
          </w:tcPr>
          <w:p w:rsidR="00BD09F4" w:rsidRPr="00BD09F4" w:rsidRDefault="00BD09F4" w:rsidP="00BD09F4">
            <w:pPr>
              <w:jc w:val="right"/>
              <w:rPr>
                <w:sz w:val="20"/>
                <w:szCs w:val="20"/>
              </w:rPr>
            </w:pPr>
            <w:r w:rsidRPr="00BD09F4">
              <w:rPr>
                <w:sz w:val="20"/>
                <w:szCs w:val="20"/>
              </w:rPr>
              <w:t>5.426,02</w:t>
            </w:r>
          </w:p>
        </w:tc>
      </w:tr>
      <w:tr w:rsidR="00BD09F4" w:rsidRPr="0062548E" w:rsidTr="005101C7">
        <w:trPr>
          <w:trHeight w:val="340"/>
        </w:trPr>
        <w:tc>
          <w:tcPr>
            <w:tcW w:w="1134" w:type="dxa"/>
            <w:tcBorders>
              <w:right w:val="nil"/>
            </w:tcBorders>
            <w:vAlign w:val="center"/>
          </w:tcPr>
          <w:p w:rsidR="00BD09F4" w:rsidRPr="0062548E" w:rsidRDefault="00BD09F4" w:rsidP="00BD09F4">
            <w:pPr>
              <w:jc w:val="right"/>
              <w:rPr>
                <w:sz w:val="20"/>
                <w:szCs w:val="20"/>
              </w:rPr>
            </w:pPr>
            <w:r>
              <w:rPr>
                <w:sz w:val="20"/>
                <w:szCs w:val="20"/>
              </w:rPr>
              <w:t>651</w:t>
            </w:r>
          </w:p>
        </w:tc>
        <w:tc>
          <w:tcPr>
            <w:tcW w:w="851" w:type="dxa"/>
            <w:tcBorders>
              <w:left w:val="nil"/>
              <w:right w:val="nil"/>
            </w:tcBorders>
            <w:vAlign w:val="center"/>
          </w:tcPr>
          <w:p w:rsidR="00BD09F4" w:rsidRPr="0062548E" w:rsidRDefault="00BD09F4" w:rsidP="00BD09F4">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BD09F4" w:rsidRPr="0062548E" w:rsidRDefault="00BD09F4" w:rsidP="00BD09F4">
            <w:pPr>
              <w:jc w:val="right"/>
              <w:rPr>
                <w:sz w:val="20"/>
                <w:szCs w:val="20"/>
              </w:rPr>
            </w:pPr>
            <w:r>
              <w:rPr>
                <w:sz w:val="20"/>
                <w:szCs w:val="20"/>
              </w:rPr>
              <w:t>1000</w:t>
            </w:r>
          </w:p>
        </w:tc>
        <w:tc>
          <w:tcPr>
            <w:tcW w:w="3543" w:type="dxa"/>
            <w:tcBorders>
              <w:left w:val="nil"/>
            </w:tcBorders>
            <w:vAlign w:val="center"/>
          </w:tcPr>
          <w:p w:rsidR="00BD09F4" w:rsidRPr="0062548E" w:rsidRDefault="00BD09F4" w:rsidP="00BD09F4">
            <w:pPr>
              <w:rPr>
                <w:sz w:val="20"/>
                <w:szCs w:val="20"/>
              </w:rPr>
            </w:pPr>
          </w:p>
        </w:tc>
        <w:tc>
          <w:tcPr>
            <w:tcW w:w="426" w:type="dxa"/>
            <w:vAlign w:val="center"/>
          </w:tcPr>
          <w:p w:rsidR="00BD09F4" w:rsidRPr="0062548E" w:rsidRDefault="00BD09F4" w:rsidP="00BD09F4">
            <w:pPr>
              <w:rPr>
                <w:sz w:val="20"/>
                <w:szCs w:val="20"/>
              </w:rPr>
            </w:pPr>
            <w:r w:rsidRPr="0062548E">
              <w:rPr>
                <w:sz w:val="20"/>
                <w:szCs w:val="20"/>
              </w:rPr>
              <w:t>€</w:t>
            </w:r>
          </w:p>
        </w:tc>
        <w:tc>
          <w:tcPr>
            <w:tcW w:w="1134" w:type="dxa"/>
            <w:gridSpan w:val="2"/>
            <w:vAlign w:val="center"/>
          </w:tcPr>
          <w:p w:rsidR="00BD09F4" w:rsidRPr="001676D7" w:rsidRDefault="0040082D" w:rsidP="00BD09F4">
            <w:pPr>
              <w:jc w:val="right"/>
              <w:rPr>
                <w:sz w:val="20"/>
                <w:szCs w:val="20"/>
              </w:rPr>
            </w:pPr>
            <w:r>
              <w:rPr>
                <w:sz w:val="20"/>
                <w:szCs w:val="20"/>
              </w:rPr>
              <w:t>4.973,94</w:t>
            </w:r>
          </w:p>
        </w:tc>
        <w:tc>
          <w:tcPr>
            <w:tcW w:w="1167" w:type="dxa"/>
            <w:vAlign w:val="center"/>
          </w:tcPr>
          <w:p w:rsidR="00BD09F4" w:rsidRPr="00BD09F4" w:rsidRDefault="00BD09F4" w:rsidP="00BD09F4">
            <w:pPr>
              <w:jc w:val="right"/>
              <w:rPr>
                <w:sz w:val="20"/>
                <w:szCs w:val="20"/>
              </w:rPr>
            </w:pPr>
            <w:r w:rsidRPr="00BD09F4">
              <w:rPr>
                <w:sz w:val="20"/>
                <w:szCs w:val="20"/>
              </w:rPr>
              <w:t>5.541,97</w:t>
            </w:r>
          </w:p>
        </w:tc>
      </w:tr>
      <w:tr w:rsidR="00BD09F4" w:rsidRPr="0062548E" w:rsidTr="005101C7">
        <w:trPr>
          <w:trHeight w:val="340"/>
        </w:trPr>
        <w:tc>
          <w:tcPr>
            <w:tcW w:w="1134" w:type="dxa"/>
            <w:tcBorders>
              <w:right w:val="nil"/>
            </w:tcBorders>
            <w:vAlign w:val="center"/>
          </w:tcPr>
          <w:p w:rsidR="00BD09F4" w:rsidRPr="0062548E" w:rsidRDefault="00BD09F4" w:rsidP="00BD09F4">
            <w:pPr>
              <w:jc w:val="right"/>
              <w:rPr>
                <w:sz w:val="20"/>
                <w:szCs w:val="20"/>
              </w:rPr>
            </w:pPr>
            <w:r>
              <w:rPr>
                <w:sz w:val="20"/>
                <w:szCs w:val="20"/>
              </w:rPr>
              <w:t>1000</w:t>
            </w:r>
          </w:p>
        </w:tc>
        <w:tc>
          <w:tcPr>
            <w:tcW w:w="851" w:type="dxa"/>
            <w:tcBorders>
              <w:left w:val="nil"/>
              <w:right w:val="nil"/>
            </w:tcBorders>
            <w:vAlign w:val="center"/>
          </w:tcPr>
          <w:p w:rsidR="00BD09F4" w:rsidRPr="0062548E" w:rsidRDefault="00BD09F4" w:rsidP="00BD09F4">
            <w:pPr>
              <w:ind w:left="92"/>
              <w:rPr>
                <w:sz w:val="20"/>
                <w:szCs w:val="20"/>
              </w:rPr>
            </w:pPr>
            <w:r>
              <w:rPr>
                <w:sz w:val="20"/>
                <w:szCs w:val="20"/>
              </w:rPr>
              <w:t>&lt;</w:t>
            </w:r>
            <w:r w:rsidRPr="00F137E0">
              <w:rPr>
                <w:sz w:val="20"/>
                <w:szCs w:val="20"/>
              </w:rPr>
              <w:t xml:space="preserve"> D ≤</w:t>
            </w:r>
          </w:p>
        </w:tc>
        <w:tc>
          <w:tcPr>
            <w:tcW w:w="709" w:type="dxa"/>
            <w:tcBorders>
              <w:left w:val="nil"/>
              <w:right w:val="nil"/>
            </w:tcBorders>
            <w:vAlign w:val="center"/>
          </w:tcPr>
          <w:p w:rsidR="00BD09F4" w:rsidRPr="0062548E" w:rsidRDefault="00BD09F4" w:rsidP="00BD09F4">
            <w:pPr>
              <w:jc w:val="right"/>
              <w:rPr>
                <w:sz w:val="20"/>
                <w:szCs w:val="20"/>
              </w:rPr>
            </w:pPr>
            <w:r>
              <w:rPr>
                <w:sz w:val="20"/>
                <w:szCs w:val="20"/>
              </w:rPr>
              <w:t>1600</w:t>
            </w:r>
          </w:p>
        </w:tc>
        <w:tc>
          <w:tcPr>
            <w:tcW w:w="3543" w:type="dxa"/>
            <w:tcBorders>
              <w:left w:val="nil"/>
            </w:tcBorders>
            <w:vAlign w:val="center"/>
          </w:tcPr>
          <w:p w:rsidR="00BD09F4" w:rsidRPr="0062548E" w:rsidRDefault="00BD09F4" w:rsidP="00BD09F4">
            <w:pPr>
              <w:rPr>
                <w:sz w:val="20"/>
                <w:szCs w:val="20"/>
              </w:rPr>
            </w:pPr>
          </w:p>
        </w:tc>
        <w:tc>
          <w:tcPr>
            <w:tcW w:w="426" w:type="dxa"/>
            <w:vAlign w:val="center"/>
          </w:tcPr>
          <w:p w:rsidR="00BD09F4" w:rsidRPr="0062548E" w:rsidRDefault="00BD09F4" w:rsidP="00BD09F4">
            <w:pPr>
              <w:rPr>
                <w:sz w:val="20"/>
                <w:szCs w:val="20"/>
              </w:rPr>
            </w:pPr>
            <w:r w:rsidRPr="0062548E">
              <w:rPr>
                <w:sz w:val="20"/>
                <w:szCs w:val="20"/>
              </w:rPr>
              <w:t>€</w:t>
            </w:r>
          </w:p>
        </w:tc>
        <w:tc>
          <w:tcPr>
            <w:tcW w:w="1134" w:type="dxa"/>
            <w:gridSpan w:val="2"/>
            <w:vAlign w:val="center"/>
          </w:tcPr>
          <w:p w:rsidR="00BD09F4" w:rsidRPr="001676D7" w:rsidRDefault="00BD09F4" w:rsidP="00BD09F4">
            <w:pPr>
              <w:jc w:val="right"/>
              <w:rPr>
                <w:sz w:val="20"/>
                <w:szCs w:val="20"/>
              </w:rPr>
            </w:pPr>
          </w:p>
        </w:tc>
        <w:tc>
          <w:tcPr>
            <w:tcW w:w="1167" w:type="dxa"/>
            <w:vAlign w:val="center"/>
          </w:tcPr>
          <w:p w:rsidR="00BD09F4" w:rsidRPr="00BD09F4" w:rsidRDefault="00BD09F4" w:rsidP="00BD09F4">
            <w:pPr>
              <w:jc w:val="right"/>
              <w:rPr>
                <w:sz w:val="20"/>
                <w:szCs w:val="20"/>
              </w:rPr>
            </w:pPr>
            <w:r w:rsidRPr="00BD09F4">
              <w:rPr>
                <w:sz w:val="20"/>
                <w:szCs w:val="20"/>
              </w:rPr>
              <w:t>5.766,42</w:t>
            </w:r>
          </w:p>
        </w:tc>
      </w:tr>
      <w:tr w:rsidR="00BD09F4" w:rsidRPr="00D30980" w:rsidTr="005E10AE">
        <w:trPr>
          <w:trHeight w:val="340"/>
        </w:trPr>
        <w:tc>
          <w:tcPr>
            <w:tcW w:w="8964" w:type="dxa"/>
            <w:gridSpan w:val="8"/>
            <w:shd w:val="clear" w:color="auto" w:fill="D9E2F3" w:themeFill="accent5" w:themeFillTint="33"/>
          </w:tcPr>
          <w:p w:rsidR="00BD09F4" w:rsidRPr="005E10AE" w:rsidRDefault="00BD09F4" w:rsidP="00BD09F4">
            <w:pPr>
              <w:rPr>
                <w:b/>
                <w:sz w:val="28"/>
                <w:szCs w:val="28"/>
              </w:rPr>
            </w:pPr>
            <w:r w:rsidRPr="005E10AE">
              <w:rPr>
                <w:b/>
                <w:sz w:val="28"/>
                <w:szCs w:val="28"/>
              </w:rPr>
              <w:t>Remarques</w:t>
            </w:r>
          </w:p>
        </w:tc>
      </w:tr>
      <w:tr w:rsidR="00BD09F4" w:rsidRPr="00C86F51" w:rsidTr="00B371EE">
        <w:trPr>
          <w:trHeight w:val="340"/>
        </w:trPr>
        <w:tc>
          <w:tcPr>
            <w:tcW w:w="8964" w:type="dxa"/>
            <w:gridSpan w:val="8"/>
            <w:vAlign w:val="center"/>
          </w:tcPr>
          <w:p w:rsidR="00BD09F4" w:rsidRPr="00C86F51" w:rsidRDefault="00BD09F4" w:rsidP="00BD09F4">
            <w:pPr>
              <w:rPr>
                <w:sz w:val="20"/>
              </w:rPr>
            </w:pPr>
            <w:r w:rsidRPr="00C86F51">
              <w:rPr>
                <w:sz w:val="20"/>
              </w:rPr>
              <w:t>Pour les cabines et postes de calibres non prévus ou des pressions de service particulières, les montants des redevances sont déterminés au cas par cas.</w:t>
            </w:r>
          </w:p>
        </w:tc>
      </w:tr>
      <w:tr w:rsidR="00BD09F4" w:rsidRPr="00C86F51" w:rsidTr="00B371EE">
        <w:trPr>
          <w:trHeight w:val="340"/>
        </w:trPr>
        <w:tc>
          <w:tcPr>
            <w:tcW w:w="8964" w:type="dxa"/>
            <w:gridSpan w:val="8"/>
            <w:vAlign w:val="center"/>
          </w:tcPr>
          <w:p w:rsidR="00BD09F4" w:rsidRPr="00C86F51" w:rsidRDefault="00BD09F4" w:rsidP="00BD09F4">
            <w:pPr>
              <w:rPr>
                <w:sz w:val="20"/>
              </w:rPr>
            </w:pPr>
            <w:r w:rsidRPr="00C86F51">
              <w:rPr>
                <w:sz w:val="20"/>
              </w:rPr>
              <w:t>La redevance annuelle est facturée durant toute la vie de la cabine ou du poste de détente</w:t>
            </w:r>
            <w:r w:rsidR="005101C7">
              <w:rPr>
                <w:sz w:val="20"/>
              </w:rPr>
              <w:t>.</w:t>
            </w:r>
          </w:p>
        </w:tc>
      </w:tr>
      <w:tr w:rsidR="00BD09F4" w:rsidRPr="00C86F51" w:rsidTr="00B371EE">
        <w:trPr>
          <w:trHeight w:val="340"/>
        </w:trPr>
        <w:tc>
          <w:tcPr>
            <w:tcW w:w="8964" w:type="dxa"/>
            <w:gridSpan w:val="8"/>
            <w:vAlign w:val="center"/>
          </w:tcPr>
          <w:p w:rsidR="00BD09F4" w:rsidRPr="00C86F51" w:rsidRDefault="00BD09F4" w:rsidP="00BD09F4">
            <w:pPr>
              <w:rPr>
                <w:sz w:val="20"/>
              </w:rPr>
            </w:pPr>
            <w:r w:rsidRPr="00C86F51">
              <w:rPr>
                <w:sz w:val="20"/>
              </w:rPr>
              <w:t>La facturation de la première redevance s'effectue à la mise en service de la cabine ou du poste de détente.</w:t>
            </w:r>
          </w:p>
        </w:tc>
      </w:tr>
      <w:tr w:rsidR="00BD09F4" w:rsidRPr="00C86F51" w:rsidTr="00B371EE">
        <w:trPr>
          <w:trHeight w:val="340"/>
        </w:trPr>
        <w:tc>
          <w:tcPr>
            <w:tcW w:w="8964" w:type="dxa"/>
            <w:gridSpan w:val="8"/>
            <w:vAlign w:val="center"/>
          </w:tcPr>
          <w:p w:rsidR="00BD09F4" w:rsidRPr="00C86F51" w:rsidRDefault="00BD09F4" w:rsidP="005101C7">
            <w:pPr>
              <w:rPr>
                <w:sz w:val="20"/>
              </w:rPr>
            </w:pPr>
            <w:r w:rsidRPr="00C86F51">
              <w:rPr>
                <w:sz w:val="20"/>
              </w:rPr>
              <w:t xml:space="preserve">Les redevances </w:t>
            </w:r>
            <w:r w:rsidR="005101C7">
              <w:rPr>
                <w:sz w:val="20"/>
              </w:rPr>
              <w:t xml:space="preserve">précédentes sont facturées </w:t>
            </w:r>
            <w:r w:rsidRPr="00C86F51">
              <w:rPr>
                <w:sz w:val="20"/>
              </w:rPr>
              <w:t>annuellement durant le mois de la date anniversaire</w:t>
            </w:r>
            <w:r w:rsidR="005101C7">
              <w:rPr>
                <w:sz w:val="20"/>
              </w:rPr>
              <w:t>.</w:t>
            </w:r>
          </w:p>
        </w:tc>
      </w:tr>
      <w:tr w:rsidR="00BD09F4" w:rsidRPr="00C86F51" w:rsidTr="00B371EE">
        <w:trPr>
          <w:trHeight w:val="340"/>
        </w:trPr>
        <w:tc>
          <w:tcPr>
            <w:tcW w:w="8964" w:type="dxa"/>
            <w:gridSpan w:val="8"/>
            <w:vAlign w:val="center"/>
          </w:tcPr>
          <w:p w:rsidR="00BD09F4" w:rsidRPr="00C86F51" w:rsidRDefault="00BD09F4" w:rsidP="00BD09F4">
            <w:pPr>
              <w:rPr>
                <w:sz w:val="20"/>
              </w:rPr>
            </w:pPr>
            <w:r w:rsidRPr="00C86F51">
              <w:rPr>
                <w:sz w:val="20"/>
              </w:rPr>
              <w:t>Tarif en €  hors TVA</w:t>
            </w:r>
            <w:r w:rsidR="005101C7">
              <w:rPr>
                <w:sz w:val="20"/>
              </w:rPr>
              <w:t>.</w:t>
            </w:r>
          </w:p>
        </w:tc>
      </w:tr>
    </w:tbl>
    <w:p w:rsidR="00A91244" w:rsidRDefault="00A91244" w:rsidP="00582074"/>
    <w:p w:rsidR="00A91244" w:rsidRDefault="00A91244" w:rsidP="00A91244"/>
    <w:p w:rsidR="00A91244" w:rsidRDefault="00A91244" w:rsidP="00A91244">
      <w:pPr>
        <w:tabs>
          <w:tab w:val="left" w:pos="1320"/>
        </w:tabs>
        <w:sectPr w:rsidR="00A91244">
          <w:headerReference w:type="default" r:id="rId12"/>
          <w:pgSz w:w="11906" w:h="16838"/>
          <w:pgMar w:top="1417" w:right="1417" w:bottom="1417" w:left="1417" w:header="708" w:footer="708" w:gutter="0"/>
          <w:cols w:space="708"/>
          <w:docGrid w:linePitch="360"/>
        </w:sectPr>
      </w:pPr>
      <w:r>
        <w:tab/>
      </w:r>
    </w:p>
    <w:tbl>
      <w:tblPr>
        <w:tblStyle w:val="Grilledutableau"/>
        <w:tblW w:w="8964" w:type="dxa"/>
        <w:tblInd w:w="-5" w:type="dxa"/>
        <w:tblLayout w:type="fixed"/>
        <w:tblLook w:val="04A0" w:firstRow="1" w:lastRow="0" w:firstColumn="1" w:lastColumn="0" w:noHBand="0" w:noVBand="1"/>
      </w:tblPr>
      <w:tblGrid>
        <w:gridCol w:w="7230"/>
        <w:gridCol w:w="567"/>
        <w:gridCol w:w="1167"/>
      </w:tblGrid>
      <w:tr w:rsidR="00A91244" w:rsidRPr="00D30980" w:rsidTr="005E10AE">
        <w:trPr>
          <w:trHeight w:val="340"/>
        </w:trPr>
        <w:tc>
          <w:tcPr>
            <w:tcW w:w="8964" w:type="dxa"/>
            <w:gridSpan w:val="3"/>
            <w:shd w:val="clear" w:color="auto" w:fill="D9E2F3" w:themeFill="accent5" w:themeFillTint="33"/>
            <w:vAlign w:val="center"/>
          </w:tcPr>
          <w:p w:rsidR="00A91244" w:rsidRPr="00D30980" w:rsidRDefault="00A91244" w:rsidP="00ED793E">
            <w:pPr>
              <w:rPr>
                <w:sz w:val="20"/>
                <w:szCs w:val="20"/>
              </w:rPr>
            </w:pPr>
            <w:r>
              <w:rPr>
                <w:b/>
                <w:sz w:val="28"/>
              </w:rPr>
              <w:lastRenderedPageBreak/>
              <w:t>Adaptation comptage</w:t>
            </w:r>
          </w:p>
        </w:tc>
      </w:tr>
      <w:tr w:rsidR="00A91244" w:rsidRPr="00D30980" w:rsidTr="00ED793E">
        <w:trPr>
          <w:trHeight w:val="340"/>
        </w:trPr>
        <w:tc>
          <w:tcPr>
            <w:tcW w:w="7230" w:type="dxa"/>
            <w:vAlign w:val="center"/>
          </w:tcPr>
          <w:p w:rsidR="00A91244" w:rsidRPr="00D30980" w:rsidRDefault="00A91244" w:rsidP="00ED793E">
            <w:pPr>
              <w:rPr>
                <w:sz w:val="20"/>
                <w:szCs w:val="20"/>
              </w:rPr>
            </w:pPr>
            <w:r>
              <w:rPr>
                <w:sz w:val="20"/>
                <w:szCs w:val="20"/>
              </w:rPr>
              <w:t>Passage comptage en AMR</w:t>
            </w:r>
          </w:p>
        </w:tc>
        <w:tc>
          <w:tcPr>
            <w:tcW w:w="567" w:type="dxa"/>
            <w:vAlign w:val="center"/>
          </w:tcPr>
          <w:p w:rsidR="00A91244" w:rsidRPr="00D30980" w:rsidRDefault="00A91244" w:rsidP="00ED793E">
            <w:pPr>
              <w:rPr>
                <w:sz w:val="20"/>
                <w:szCs w:val="20"/>
              </w:rPr>
            </w:pPr>
            <w:r>
              <w:rPr>
                <w:sz w:val="20"/>
                <w:szCs w:val="20"/>
              </w:rPr>
              <w:t>€</w:t>
            </w:r>
          </w:p>
        </w:tc>
        <w:tc>
          <w:tcPr>
            <w:tcW w:w="1167" w:type="dxa"/>
            <w:vAlign w:val="center"/>
          </w:tcPr>
          <w:p w:rsidR="00A91244" w:rsidRPr="00D30980" w:rsidRDefault="00A91244" w:rsidP="00ED793E">
            <w:pPr>
              <w:jc w:val="right"/>
              <w:rPr>
                <w:sz w:val="20"/>
                <w:szCs w:val="20"/>
              </w:rPr>
            </w:pPr>
            <w:r>
              <w:rPr>
                <w:sz w:val="20"/>
                <w:szCs w:val="20"/>
              </w:rPr>
              <w:t>DEVIS</w:t>
            </w:r>
          </w:p>
        </w:tc>
      </w:tr>
      <w:tr w:rsidR="00A91244" w:rsidRPr="00D30980" w:rsidTr="005E10AE">
        <w:trPr>
          <w:trHeight w:val="340"/>
        </w:trPr>
        <w:tc>
          <w:tcPr>
            <w:tcW w:w="8964" w:type="dxa"/>
            <w:gridSpan w:val="3"/>
            <w:shd w:val="clear" w:color="auto" w:fill="D9E2F3" w:themeFill="accent5" w:themeFillTint="33"/>
            <w:vAlign w:val="center"/>
          </w:tcPr>
          <w:p w:rsidR="00A91244" w:rsidRPr="00D30980" w:rsidRDefault="00A91244" w:rsidP="00ED793E">
            <w:pPr>
              <w:rPr>
                <w:sz w:val="20"/>
                <w:szCs w:val="20"/>
              </w:rPr>
            </w:pPr>
            <w:r>
              <w:rPr>
                <w:b/>
                <w:sz w:val="28"/>
              </w:rPr>
              <w:t>Mise à disposition des impulsions comptage</w:t>
            </w:r>
          </w:p>
        </w:tc>
      </w:tr>
      <w:tr w:rsidR="00A91244" w:rsidRPr="00D30980" w:rsidTr="005101C7">
        <w:trPr>
          <w:trHeight w:val="340"/>
        </w:trPr>
        <w:tc>
          <w:tcPr>
            <w:tcW w:w="7230" w:type="dxa"/>
            <w:vAlign w:val="center"/>
          </w:tcPr>
          <w:p w:rsidR="00A91244" w:rsidRPr="00D30980" w:rsidRDefault="00A91244" w:rsidP="00ED793E">
            <w:pPr>
              <w:rPr>
                <w:sz w:val="20"/>
                <w:szCs w:val="20"/>
              </w:rPr>
            </w:pPr>
            <w:r w:rsidRPr="00A91244">
              <w:rPr>
                <w:sz w:val="20"/>
                <w:szCs w:val="20"/>
              </w:rPr>
              <w:t>Analyse du dossier</w:t>
            </w:r>
          </w:p>
        </w:tc>
        <w:tc>
          <w:tcPr>
            <w:tcW w:w="567" w:type="dxa"/>
            <w:vAlign w:val="center"/>
          </w:tcPr>
          <w:p w:rsidR="00A91244" w:rsidRPr="00D30980" w:rsidRDefault="00A91244" w:rsidP="00ED793E">
            <w:pPr>
              <w:rPr>
                <w:sz w:val="20"/>
                <w:szCs w:val="20"/>
              </w:rPr>
            </w:pPr>
            <w:r>
              <w:rPr>
                <w:sz w:val="20"/>
                <w:szCs w:val="20"/>
              </w:rPr>
              <w:t>€</w:t>
            </w:r>
          </w:p>
        </w:tc>
        <w:tc>
          <w:tcPr>
            <w:tcW w:w="1167" w:type="dxa"/>
            <w:vAlign w:val="center"/>
          </w:tcPr>
          <w:p w:rsidR="00A91244" w:rsidRPr="001676D7" w:rsidRDefault="00682EDB" w:rsidP="00103189">
            <w:pPr>
              <w:jc w:val="right"/>
              <w:rPr>
                <w:sz w:val="20"/>
                <w:szCs w:val="20"/>
              </w:rPr>
            </w:pPr>
            <w:r w:rsidRPr="001676D7">
              <w:rPr>
                <w:sz w:val="20"/>
                <w:szCs w:val="20"/>
              </w:rPr>
              <w:t>1</w:t>
            </w:r>
            <w:r w:rsidR="00103189">
              <w:rPr>
                <w:sz w:val="20"/>
                <w:szCs w:val="20"/>
              </w:rPr>
              <w:t>61</w:t>
            </w:r>
            <w:r w:rsidRPr="001676D7">
              <w:rPr>
                <w:sz w:val="20"/>
                <w:szCs w:val="20"/>
              </w:rPr>
              <w:t>,</w:t>
            </w:r>
            <w:r w:rsidR="00103189">
              <w:rPr>
                <w:sz w:val="20"/>
                <w:szCs w:val="20"/>
              </w:rPr>
              <w:t>69</w:t>
            </w:r>
          </w:p>
        </w:tc>
      </w:tr>
      <w:tr w:rsidR="00103189" w:rsidRPr="00D30980" w:rsidTr="005101C7">
        <w:trPr>
          <w:trHeight w:val="340"/>
        </w:trPr>
        <w:tc>
          <w:tcPr>
            <w:tcW w:w="7230" w:type="dxa"/>
            <w:vAlign w:val="center"/>
          </w:tcPr>
          <w:p w:rsidR="00103189" w:rsidRPr="005101C7" w:rsidRDefault="00103189" w:rsidP="00103189">
            <w:pPr>
              <w:rPr>
                <w:sz w:val="20"/>
                <w:szCs w:val="20"/>
              </w:rPr>
            </w:pPr>
            <w:r w:rsidRPr="005101C7">
              <w:rPr>
                <w:sz w:val="20"/>
                <w:szCs w:val="20"/>
              </w:rPr>
              <w:t>Compteur compatible (à partir du G16)</w:t>
            </w:r>
          </w:p>
        </w:tc>
        <w:tc>
          <w:tcPr>
            <w:tcW w:w="567" w:type="dxa"/>
            <w:vAlign w:val="center"/>
          </w:tcPr>
          <w:p w:rsidR="00103189" w:rsidRPr="005101C7" w:rsidRDefault="00103189" w:rsidP="00103189">
            <w:pPr>
              <w:rPr>
                <w:sz w:val="20"/>
                <w:szCs w:val="20"/>
              </w:rPr>
            </w:pPr>
            <w:r w:rsidRPr="005101C7">
              <w:rPr>
                <w:sz w:val="20"/>
                <w:szCs w:val="20"/>
              </w:rPr>
              <w:t>€</w:t>
            </w:r>
          </w:p>
        </w:tc>
        <w:tc>
          <w:tcPr>
            <w:tcW w:w="1167" w:type="dxa"/>
            <w:vAlign w:val="center"/>
          </w:tcPr>
          <w:p w:rsidR="00103189" w:rsidRPr="005101C7" w:rsidRDefault="00103189" w:rsidP="00103189">
            <w:pPr>
              <w:jc w:val="right"/>
              <w:rPr>
                <w:sz w:val="20"/>
                <w:szCs w:val="20"/>
              </w:rPr>
            </w:pPr>
            <w:r w:rsidRPr="005101C7">
              <w:rPr>
                <w:sz w:val="20"/>
                <w:szCs w:val="20"/>
              </w:rPr>
              <w:t>1.771,09</w:t>
            </w:r>
          </w:p>
        </w:tc>
      </w:tr>
      <w:tr w:rsidR="00103189" w:rsidRPr="00D30980" w:rsidTr="005101C7">
        <w:trPr>
          <w:trHeight w:val="340"/>
        </w:trPr>
        <w:tc>
          <w:tcPr>
            <w:tcW w:w="7230" w:type="dxa"/>
            <w:vAlign w:val="center"/>
          </w:tcPr>
          <w:p w:rsidR="00103189" w:rsidRPr="005101C7" w:rsidRDefault="00103189" w:rsidP="00103189">
            <w:pPr>
              <w:rPr>
                <w:sz w:val="20"/>
                <w:szCs w:val="20"/>
              </w:rPr>
            </w:pPr>
            <w:r w:rsidRPr="005101C7">
              <w:rPr>
                <w:sz w:val="20"/>
                <w:szCs w:val="20"/>
              </w:rPr>
              <w:t>Raccordement d'un signal complémentaire au coffret de report d'impulsions</w:t>
            </w:r>
          </w:p>
        </w:tc>
        <w:tc>
          <w:tcPr>
            <w:tcW w:w="567" w:type="dxa"/>
            <w:vAlign w:val="center"/>
          </w:tcPr>
          <w:p w:rsidR="00103189" w:rsidRPr="005101C7" w:rsidRDefault="00103189" w:rsidP="00103189">
            <w:pPr>
              <w:rPr>
                <w:sz w:val="20"/>
                <w:szCs w:val="20"/>
              </w:rPr>
            </w:pPr>
            <w:r w:rsidRPr="005101C7">
              <w:rPr>
                <w:sz w:val="20"/>
                <w:szCs w:val="20"/>
              </w:rPr>
              <w:t>€</w:t>
            </w:r>
          </w:p>
        </w:tc>
        <w:tc>
          <w:tcPr>
            <w:tcW w:w="1167" w:type="dxa"/>
            <w:vAlign w:val="center"/>
          </w:tcPr>
          <w:p w:rsidR="00103189" w:rsidRPr="005101C7" w:rsidRDefault="00103189" w:rsidP="00103189">
            <w:pPr>
              <w:jc w:val="right"/>
              <w:rPr>
                <w:sz w:val="20"/>
                <w:szCs w:val="20"/>
              </w:rPr>
            </w:pPr>
            <w:r w:rsidRPr="005101C7">
              <w:rPr>
                <w:sz w:val="20"/>
                <w:szCs w:val="20"/>
              </w:rPr>
              <w:t>924,37</w:t>
            </w:r>
          </w:p>
        </w:tc>
      </w:tr>
      <w:tr w:rsidR="00A91244" w:rsidRPr="00D30980" w:rsidTr="005101C7">
        <w:trPr>
          <w:trHeight w:val="340"/>
        </w:trPr>
        <w:tc>
          <w:tcPr>
            <w:tcW w:w="7230" w:type="dxa"/>
            <w:vAlign w:val="center"/>
          </w:tcPr>
          <w:p w:rsidR="00A91244" w:rsidRPr="005101C7" w:rsidRDefault="00A91244" w:rsidP="00ED793E">
            <w:pPr>
              <w:rPr>
                <w:sz w:val="20"/>
                <w:szCs w:val="20"/>
              </w:rPr>
            </w:pPr>
            <w:r w:rsidRPr="005101C7">
              <w:rPr>
                <w:sz w:val="20"/>
                <w:szCs w:val="20"/>
              </w:rPr>
              <w:t>Mini poste de détente</w:t>
            </w:r>
          </w:p>
        </w:tc>
        <w:tc>
          <w:tcPr>
            <w:tcW w:w="567" w:type="dxa"/>
            <w:vAlign w:val="center"/>
          </w:tcPr>
          <w:p w:rsidR="00A91244" w:rsidRPr="005101C7" w:rsidRDefault="00A91244" w:rsidP="00ED793E">
            <w:pPr>
              <w:rPr>
                <w:sz w:val="20"/>
                <w:szCs w:val="20"/>
              </w:rPr>
            </w:pPr>
            <w:r w:rsidRPr="005101C7">
              <w:rPr>
                <w:sz w:val="20"/>
                <w:szCs w:val="20"/>
              </w:rPr>
              <w:t>€</w:t>
            </w:r>
          </w:p>
        </w:tc>
        <w:tc>
          <w:tcPr>
            <w:tcW w:w="1167" w:type="dxa"/>
            <w:vAlign w:val="center"/>
          </w:tcPr>
          <w:p w:rsidR="00A91244" w:rsidRPr="005101C7" w:rsidRDefault="00A91244" w:rsidP="00ED793E">
            <w:pPr>
              <w:jc w:val="right"/>
              <w:rPr>
                <w:sz w:val="20"/>
                <w:szCs w:val="20"/>
              </w:rPr>
            </w:pPr>
            <w:r w:rsidRPr="005101C7">
              <w:rPr>
                <w:sz w:val="20"/>
                <w:szCs w:val="20"/>
              </w:rPr>
              <w:t>DEVIS</w:t>
            </w:r>
          </w:p>
        </w:tc>
      </w:tr>
      <w:tr w:rsidR="00A91244" w:rsidRPr="00D30980" w:rsidTr="005101C7">
        <w:trPr>
          <w:trHeight w:val="340"/>
        </w:trPr>
        <w:tc>
          <w:tcPr>
            <w:tcW w:w="7230" w:type="dxa"/>
            <w:vAlign w:val="center"/>
          </w:tcPr>
          <w:p w:rsidR="00A91244" w:rsidRPr="005101C7" w:rsidRDefault="00A91244" w:rsidP="00ED793E">
            <w:pPr>
              <w:rPr>
                <w:sz w:val="20"/>
                <w:szCs w:val="20"/>
              </w:rPr>
            </w:pPr>
            <w:r w:rsidRPr="005101C7">
              <w:rPr>
                <w:sz w:val="20"/>
                <w:szCs w:val="20"/>
              </w:rPr>
              <w:t>Convertisseur NON compatible</w:t>
            </w:r>
          </w:p>
        </w:tc>
        <w:tc>
          <w:tcPr>
            <w:tcW w:w="567" w:type="dxa"/>
            <w:vAlign w:val="center"/>
          </w:tcPr>
          <w:p w:rsidR="00A91244" w:rsidRPr="005101C7" w:rsidRDefault="005101C7" w:rsidP="00ED793E">
            <w:pPr>
              <w:rPr>
                <w:sz w:val="20"/>
                <w:szCs w:val="20"/>
              </w:rPr>
            </w:pPr>
            <w:r w:rsidRPr="005101C7">
              <w:rPr>
                <w:sz w:val="20"/>
                <w:szCs w:val="20"/>
              </w:rPr>
              <w:t>€</w:t>
            </w:r>
          </w:p>
        </w:tc>
        <w:tc>
          <w:tcPr>
            <w:tcW w:w="1167" w:type="dxa"/>
            <w:vAlign w:val="center"/>
          </w:tcPr>
          <w:p w:rsidR="00A91244" w:rsidRPr="005101C7" w:rsidRDefault="00A91244" w:rsidP="00ED793E">
            <w:pPr>
              <w:jc w:val="right"/>
              <w:rPr>
                <w:sz w:val="20"/>
                <w:szCs w:val="20"/>
              </w:rPr>
            </w:pPr>
            <w:r w:rsidRPr="005101C7">
              <w:rPr>
                <w:sz w:val="20"/>
                <w:szCs w:val="20"/>
              </w:rPr>
              <w:t>DEVIS</w:t>
            </w:r>
          </w:p>
        </w:tc>
      </w:tr>
      <w:tr w:rsidR="00A91244" w:rsidRPr="00D30980" w:rsidTr="00ED793E">
        <w:trPr>
          <w:trHeight w:val="340"/>
        </w:trPr>
        <w:tc>
          <w:tcPr>
            <w:tcW w:w="8964" w:type="dxa"/>
            <w:gridSpan w:val="3"/>
            <w:shd w:val="clear" w:color="auto" w:fill="D9E2F3" w:themeFill="accent5" w:themeFillTint="33"/>
            <w:vAlign w:val="center"/>
          </w:tcPr>
          <w:p w:rsidR="00A91244" w:rsidRPr="00D30980" w:rsidRDefault="00A91244" w:rsidP="00ED793E">
            <w:pPr>
              <w:rPr>
                <w:sz w:val="20"/>
                <w:szCs w:val="20"/>
              </w:rPr>
            </w:pPr>
            <w:r w:rsidRPr="00A91244">
              <w:rPr>
                <w:b/>
                <w:sz w:val="28"/>
              </w:rPr>
              <w:t>Remarques</w:t>
            </w:r>
          </w:p>
        </w:tc>
      </w:tr>
      <w:tr w:rsidR="00A91244" w:rsidRPr="00D30980" w:rsidTr="00ED793E">
        <w:trPr>
          <w:trHeight w:val="340"/>
        </w:trPr>
        <w:tc>
          <w:tcPr>
            <w:tcW w:w="8964" w:type="dxa"/>
            <w:gridSpan w:val="3"/>
            <w:vAlign w:val="center"/>
          </w:tcPr>
          <w:p w:rsidR="00A91244" w:rsidRPr="005101C7" w:rsidRDefault="00A91244" w:rsidP="00ED793E">
            <w:pPr>
              <w:rPr>
                <w:sz w:val="20"/>
                <w:szCs w:val="20"/>
              </w:rPr>
            </w:pPr>
            <w:r w:rsidRPr="005101C7">
              <w:rPr>
                <w:sz w:val="20"/>
                <w:szCs w:val="20"/>
              </w:rPr>
              <w:t xml:space="preserve">Mise à disposition par et au frais du demandeur d'une alimentation électrique 230 </w:t>
            </w:r>
            <w:proofErr w:type="spellStart"/>
            <w:r w:rsidRPr="005101C7">
              <w:rPr>
                <w:sz w:val="20"/>
                <w:szCs w:val="20"/>
              </w:rPr>
              <w:t>Vac</w:t>
            </w:r>
            <w:proofErr w:type="spellEnd"/>
            <w:r w:rsidRPr="005101C7">
              <w:rPr>
                <w:sz w:val="20"/>
                <w:szCs w:val="20"/>
              </w:rPr>
              <w:t xml:space="preserve"> 16A avec protection par disjoncteur via un câble du type XVB  3G2.5</w:t>
            </w:r>
            <w:r w:rsidR="005101C7">
              <w:rPr>
                <w:sz w:val="20"/>
                <w:szCs w:val="20"/>
              </w:rPr>
              <w:t>.</w:t>
            </w:r>
          </w:p>
        </w:tc>
      </w:tr>
      <w:tr w:rsidR="00A91244" w:rsidRPr="00D30980" w:rsidTr="00ED793E">
        <w:trPr>
          <w:trHeight w:val="340"/>
        </w:trPr>
        <w:tc>
          <w:tcPr>
            <w:tcW w:w="8964" w:type="dxa"/>
            <w:gridSpan w:val="3"/>
            <w:vAlign w:val="center"/>
          </w:tcPr>
          <w:p w:rsidR="00A91244" w:rsidRPr="005101C7" w:rsidRDefault="00A91244" w:rsidP="00ED793E">
            <w:pPr>
              <w:rPr>
                <w:sz w:val="20"/>
                <w:szCs w:val="20"/>
              </w:rPr>
            </w:pPr>
            <w:r w:rsidRPr="005101C7">
              <w:rPr>
                <w:sz w:val="20"/>
                <w:szCs w:val="20"/>
              </w:rPr>
              <w:t>Mise à disposition par et au frais du demandeur d'un câble de télécommunication pour l’acquisition des données à proximité immédiate du compteur ou du local compteur</w:t>
            </w:r>
            <w:r w:rsidR="005101C7">
              <w:rPr>
                <w:sz w:val="20"/>
                <w:szCs w:val="20"/>
              </w:rPr>
              <w:t>.</w:t>
            </w:r>
          </w:p>
        </w:tc>
      </w:tr>
      <w:tr w:rsidR="00A91244" w:rsidRPr="00D30980" w:rsidTr="00ED793E">
        <w:trPr>
          <w:trHeight w:val="340"/>
        </w:trPr>
        <w:tc>
          <w:tcPr>
            <w:tcW w:w="8964" w:type="dxa"/>
            <w:gridSpan w:val="3"/>
            <w:vAlign w:val="center"/>
          </w:tcPr>
          <w:p w:rsidR="00A91244" w:rsidRPr="005101C7" w:rsidRDefault="00A91244" w:rsidP="00ED793E">
            <w:pPr>
              <w:rPr>
                <w:sz w:val="20"/>
                <w:szCs w:val="20"/>
              </w:rPr>
            </w:pPr>
            <w:r w:rsidRPr="005101C7">
              <w:rPr>
                <w:sz w:val="20"/>
                <w:szCs w:val="20"/>
              </w:rPr>
              <w:t>Tarif en €  hors TVA</w:t>
            </w:r>
            <w:r w:rsidR="005101C7">
              <w:rPr>
                <w:sz w:val="20"/>
                <w:szCs w:val="20"/>
              </w:rPr>
              <w:t>.</w:t>
            </w:r>
          </w:p>
        </w:tc>
      </w:tr>
    </w:tbl>
    <w:p w:rsidR="00A91244" w:rsidRDefault="00A91244" w:rsidP="00A91244">
      <w:pPr>
        <w:tabs>
          <w:tab w:val="left" w:pos="1320"/>
        </w:tabs>
      </w:pPr>
    </w:p>
    <w:p w:rsidR="00A91244" w:rsidRDefault="00A91244" w:rsidP="00A91244">
      <w:pPr>
        <w:tabs>
          <w:tab w:val="left" w:pos="1320"/>
        </w:tabs>
      </w:pPr>
    </w:p>
    <w:p w:rsidR="00A91244" w:rsidRDefault="00A91244" w:rsidP="00A91244">
      <w:pPr>
        <w:tabs>
          <w:tab w:val="left" w:pos="1320"/>
        </w:tabs>
      </w:pPr>
    </w:p>
    <w:p w:rsidR="00A91244" w:rsidRDefault="00A91244" w:rsidP="00A91244">
      <w:pPr>
        <w:tabs>
          <w:tab w:val="left" w:pos="1320"/>
        </w:tabs>
      </w:pPr>
    </w:p>
    <w:p w:rsidR="00A91244" w:rsidRDefault="00A91244" w:rsidP="00A91244">
      <w:pPr>
        <w:tabs>
          <w:tab w:val="left" w:pos="1320"/>
        </w:tabs>
      </w:pPr>
    </w:p>
    <w:p w:rsidR="00867C0A" w:rsidRPr="00A91244" w:rsidRDefault="00A91244" w:rsidP="00A91244">
      <w:pPr>
        <w:tabs>
          <w:tab w:val="left" w:pos="1320"/>
        </w:tabs>
        <w:sectPr w:rsidR="00867C0A" w:rsidRPr="00A91244">
          <w:headerReference w:type="default" r:id="rId13"/>
          <w:pgSz w:w="11906" w:h="16838"/>
          <w:pgMar w:top="1417" w:right="1417" w:bottom="1417" w:left="1417" w:header="708" w:footer="708" w:gutter="0"/>
          <w:cols w:space="708"/>
          <w:docGrid w:linePitch="360"/>
        </w:sectPr>
      </w:pPr>
      <w:r>
        <w:tab/>
      </w:r>
    </w:p>
    <w:tbl>
      <w:tblPr>
        <w:tblStyle w:val="Grilledutableau"/>
        <w:tblW w:w="0" w:type="auto"/>
        <w:tblLook w:val="04A0" w:firstRow="1" w:lastRow="0" w:firstColumn="1" w:lastColumn="0" w:noHBand="0" w:noVBand="1"/>
      </w:tblPr>
      <w:tblGrid>
        <w:gridCol w:w="7231"/>
        <w:gridCol w:w="913"/>
        <w:gridCol w:w="916"/>
      </w:tblGrid>
      <w:tr w:rsidR="00960FCB" w:rsidRPr="007A7C00" w:rsidTr="006A0378">
        <w:trPr>
          <w:trHeight w:val="850"/>
        </w:trPr>
        <w:tc>
          <w:tcPr>
            <w:tcW w:w="9062" w:type="dxa"/>
            <w:gridSpan w:val="3"/>
            <w:tcBorders>
              <w:bottom w:val="single" w:sz="4" w:space="0" w:color="auto"/>
            </w:tcBorders>
            <w:shd w:val="clear" w:color="auto" w:fill="D9E2F3" w:themeFill="accent5" w:themeFillTint="33"/>
            <w:vAlign w:val="center"/>
          </w:tcPr>
          <w:p w:rsidR="00960FCB" w:rsidRPr="007A7C00" w:rsidRDefault="001D5D99" w:rsidP="006A0378">
            <w:pPr>
              <w:jc w:val="center"/>
              <w:rPr>
                <w:b/>
                <w:sz w:val="36"/>
              </w:rPr>
            </w:pPr>
            <w:r w:rsidRPr="007A7C00">
              <w:rPr>
                <w:b/>
                <w:sz w:val="36"/>
              </w:rPr>
              <w:lastRenderedPageBreak/>
              <w:t>F</w:t>
            </w:r>
            <w:r w:rsidR="006A0378" w:rsidRPr="007A7C00">
              <w:rPr>
                <w:b/>
                <w:sz w:val="36"/>
              </w:rPr>
              <w:t>orfaits applicables à la viabilisation de terrain</w:t>
            </w:r>
          </w:p>
        </w:tc>
      </w:tr>
      <w:tr w:rsidR="00960FCB" w:rsidRPr="007A7C00" w:rsidTr="0063788B">
        <w:tc>
          <w:tcPr>
            <w:tcW w:w="7233" w:type="dxa"/>
            <w:tcBorders>
              <w:top w:val="single" w:sz="4" w:space="0" w:color="auto"/>
              <w:left w:val="nil"/>
              <w:bottom w:val="single" w:sz="4" w:space="0" w:color="auto"/>
              <w:right w:val="nil"/>
            </w:tcBorders>
          </w:tcPr>
          <w:p w:rsidR="00960FCB" w:rsidRPr="007A7C00" w:rsidRDefault="00960FCB" w:rsidP="00684B3E"/>
        </w:tc>
        <w:tc>
          <w:tcPr>
            <w:tcW w:w="913" w:type="dxa"/>
            <w:tcBorders>
              <w:top w:val="single" w:sz="4" w:space="0" w:color="auto"/>
              <w:left w:val="nil"/>
              <w:bottom w:val="single" w:sz="4" w:space="0" w:color="auto"/>
              <w:right w:val="nil"/>
            </w:tcBorders>
          </w:tcPr>
          <w:p w:rsidR="00960FCB" w:rsidRPr="007A7C00" w:rsidRDefault="00960FCB" w:rsidP="00684B3E"/>
        </w:tc>
        <w:tc>
          <w:tcPr>
            <w:tcW w:w="916" w:type="dxa"/>
            <w:tcBorders>
              <w:top w:val="single" w:sz="4" w:space="0" w:color="auto"/>
              <w:left w:val="nil"/>
              <w:bottom w:val="single" w:sz="4" w:space="0" w:color="auto"/>
              <w:right w:val="nil"/>
            </w:tcBorders>
          </w:tcPr>
          <w:p w:rsidR="00960FCB" w:rsidRPr="007A7C00" w:rsidRDefault="00960FCB" w:rsidP="00684B3E"/>
        </w:tc>
      </w:tr>
      <w:tr w:rsidR="00960FCB" w:rsidRPr="00A921EC" w:rsidTr="005E10AE">
        <w:trPr>
          <w:trHeight w:val="680"/>
        </w:trPr>
        <w:tc>
          <w:tcPr>
            <w:tcW w:w="9062" w:type="dxa"/>
            <w:gridSpan w:val="3"/>
            <w:tcBorders>
              <w:top w:val="single" w:sz="4" w:space="0" w:color="auto"/>
            </w:tcBorders>
            <w:shd w:val="clear" w:color="auto" w:fill="D9E2F3" w:themeFill="accent5" w:themeFillTint="33"/>
            <w:vAlign w:val="center"/>
          </w:tcPr>
          <w:p w:rsidR="00960FCB" w:rsidRPr="00A921EC" w:rsidRDefault="005E10AE" w:rsidP="00960FCB">
            <w:pPr>
              <w:rPr>
                <w:b/>
                <w:sz w:val="28"/>
              </w:rPr>
            </w:pPr>
            <w:r w:rsidRPr="00A921EC">
              <w:rPr>
                <w:b/>
                <w:sz w:val="28"/>
              </w:rPr>
              <w:t>Etude</w:t>
            </w:r>
          </w:p>
        </w:tc>
      </w:tr>
      <w:tr w:rsidR="00960FCB" w:rsidRPr="00A921EC" w:rsidTr="0063788B">
        <w:trPr>
          <w:trHeight w:val="340"/>
        </w:trPr>
        <w:tc>
          <w:tcPr>
            <w:tcW w:w="7233" w:type="dxa"/>
            <w:vAlign w:val="center"/>
          </w:tcPr>
          <w:p w:rsidR="00960FCB" w:rsidRPr="00A921EC" w:rsidRDefault="005B23C6" w:rsidP="0063788B">
            <w:pPr>
              <w:rPr>
                <w:sz w:val="20"/>
              </w:rPr>
            </w:pPr>
            <w:r w:rsidRPr="00A921EC">
              <w:rPr>
                <w:sz w:val="20"/>
              </w:rPr>
              <w:t>Frais de dossier pour viabilisation de terrain</w:t>
            </w:r>
            <w:r w:rsidR="0005788F" w:rsidRPr="00A921EC">
              <w:rPr>
                <w:sz w:val="20"/>
              </w:rPr>
              <w:t xml:space="preserve"> (par demandeur)</w:t>
            </w:r>
          </w:p>
        </w:tc>
        <w:tc>
          <w:tcPr>
            <w:tcW w:w="913" w:type="dxa"/>
            <w:vAlign w:val="center"/>
          </w:tcPr>
          <w:p w:rsidR="00960FCB" w:rsidRPr="00A921EC" w:rsidRDefault="005B23C6" w:rsidP="00684B3E">
            <w:pPr>
              <w:rPr>
                <w:sz w:val="20"/>
              </w:rPr>
            </w:pPr>
            <w:r w:rsidRPr="00A921EC">
              <w:rPr>
                <w:sz w:val="20"/>
              </w:rPr>
              <w:t>€</w:t>
            </w:r>
          </w:p>
        </w:tc>
        <w:tc>
          <w:tcPr>
            <w:tcW w:w="916" w:type="dxa"/>
            <w:vAlign w:val="center"/>
          </w:tcPr>
          <w:p w:rsidR="00960FCB" w:rsidRPr="00A921EC" w:rsidRDefault="005B23C6" w:rsidP="00103189">
            <w:pPr>
              <w:jc w:val="right"/>
              <w:rPr>
                <w:sz w:val="20"/>
              </w:rPr>
            </w:pPr>
            <w:r w:rsidRPr="00A921EC">
              <w:rPr>
                <w:sz w:val="20"/>
              </w:rPr>
              <w:t>2</w:t>
            </w:r>
            <w:r w:rsidR="00103189">
              <w:rPr>
                <w:sz w:val="20"/>
              </w:rPr>
              <w:t>70</w:t>
            </w:r>
            <w:r w:rsidR="008E6054">
              <w:rPr>
                <w:sz w:val="20"/>
              </w:rPr>
              <w:t>,</w:t>
            </w:r>
            <w:r w:rsidR="00103189">
              <w:rPr>
                <w:sz w:val="20"/>
              </w:rPr>
              <w:t>18</w:t>
            </w:r>
          </w:p>
        </w:tc>
      </w:tr>
      <w:tr w:rsidR="00E64EFC" w:rsidRPr="00A921EC" w:rsidTr="005E10AE">
        <w:trPr>
          <w:trHeight w:val="680"/>
        </w:trPr>
        <w:tc>
          <w:tcPr>
            <w:tcW w:w="9062" w:type="dxa"/>
            <w:gridSpan w:val="3"/>
            <w:shd w:val="clear" w:color="auto" w:fill="D9E2F3" w:themeFill="accent5" w:themeFillTint="33"/>
            <w:vAlign w:val="center"/>
          </w:tcPr>
          <w:p w:rsidR="00E64EFC" w:rsidRPr="00A921EC" w:rsidRDefault="00E64EFC" w:rsidP="0086760C">
            <w:pPr>
              <w:rPr>
                <w:b/>
                <w:sz w:val="28"/>
              </w:rPr>
            </w:pPr>
            <w:r w:rsidRPr="00A921EC">
              <w:rPr>
                <w:b/>
                <w:sz w:val="28"/>
              </w:rPr>
              <w:t xml:space="preserve">Forfaits applicables </w:t>
            </w:r>
            <w:r w:rsidR="0086760C">
              <w:rPr>
                <w:b/>
                <w:sz w:val="28"/>
              </w:rPr>
              <w:t>à l’équipement en gaz</w:t>
            </w:r>
          </w:p>
        </w:tc>
      </w:tr>
      <w:tr w:rsidR="005A7634" w:rsidRPr="00A921EC" w:rsidTr="005101C7">
        <w:trPr>
          <w:trHeight w:val="340"/>
        </w:trPr>
        <w:tc>
          <w:tcPr>
            <w:tcW w:w="7233" w:type="dxa"/>
            <w:vAlign w:val="center"/>
          </w:tcPr>
          <w:p w:rsidR="005A7634" w:rsidRPr="0086760C" w:rsidRDefault="0086760C" w:rsidP="0086760C">
            <w:pPr>
              <w:rPr>
                <w:sz w:val="20"/>
              </w:rPr>
            </w:pPr>
            <w:r>
              <w:rPr>
                <w:sz w:val="20"/>
              </w:rPr>
              <w:t>Tranchées réalisées par le demandeur</w:t>
            </w:r>
          </w:p>
        </w:tc>
        <w:tc>
          <w:tcPr>
            <w:tcW w:w="913" w:type="dxa"/>
            <w:vAlign w:val="center"/>
          </w:tcPr>
          <w:p w:rsidR="005A7634" w:rsidRPr="00A921EC" w:rsidRDefault="005A7634" w:rsidP="00C74898">
            <w:pPr>
              <w:rPr>
                <w:sz w:val="20"/>
              </w:rPr>
            </w:pPr>
            <w:r w:rsidRPr="00A921EC">
              <w:rPr>
                <w:sz w:val="20"/>
              </w:rPr>
              <w:t>€/m</w:t>
            </w:r>
          </w:p>
        </w:tc>
        <w:tc>
          <w:tcPr>
            <w:tcW w:w="916" w:type="dxa"/>
            <w:vAlign w:val="center"/>
          </w:tcPr>
          <w:p w:rsidR="005A7634" w:rsidRPr="00A921EC" w:rsidRDefault="00A616D4" w:rsidP="00A616D4">
            <w:pPr>
              <w:jc w:val="right"/>
              <w:rPr>
                <w:sz w:val="20"/>
              </w:rPr>
            </w:pPr>
            <w:r>
              <w:rPr>
                <w:sz w:val="20"/>
              </w:rPr>
              <w:t>90</w:t>
            </w:r>
            <w:r w:rsidR="00606EB8">
              <w:rPr>
                <w:sz w:val="20"/>
              </w:rPr>
              <w:t>,</w:t>
            </w:r>
            <w:r>
              <w:rPr>
                <w:sz w:val="20"/>
              </w:rPr>
              <w:t>2</w:t>
            </w:r>
            <w:r w:rsidR="00606EB8">
              <w:rPr>
                <w:sz w:val="20"/>
              </w:rPr>
              <w:t>0</w:t>
            </w:r>
          </w:p>
        </w:tc>
      </w:tr>
      <w:tr w:rsidR="00C74898" w:rsidRPr="00A921EC" w:rsidTr="005101C7">
        <w:trPr>
          <w:trHeight w:val="340"/>
        </w:trPr>
        <w:tc>
          <w:tcPr>
            <w:tcW w:w="7233" w:type="dxa"/>
            <w:vAlign w:val="center"/>
          </w:tcPr>
          <w:p w:rsidR="00C74898" w:rsidRPr="00A921EC" w:rsidRDefault="0086760C" w:rsidP="0086760C">
            <w:pPr>
              <w:rPr>
                <w:sz w:val="20"/>
              </w:rPr>
            </w:pPr>
            <w:r>
              <w:rPr>
                <w:sz w:val="20"/>
              </w:rPr>
              <w:t>T</w:t>
            </w:r>
            <w:r w:rsidR="00C74898" w:rsidRPr="00A921EC">
              <w:rPr>
                <w:sz w:val="20"/>
              </w:rPr>
              <w:t>ranchée</w:t>
            </w:r>
            <w:r>
              <w:rPr>
                <w:sz w:val="20"/>
              </w:rPr>
              <w:t>s réalisées par RESA</w:t>
            </w:r>
          </w:p>
        </w:tc>
        <w:tc>
          <w:tcPr>
            <w:tcW w:w="913" w:type="dxa"/>
            <w:vAlign w:val="center"/>
          </w:tcPr>
          <w:p w:rsidR="00C74898" w:rsidRPr="00A921EC" w:rsidRDefault="00CD7A3E" w:rsidP="005A7634">
            <w:pPr>
              <w:rPr>
                <w:sz w:val="20"/>
              </w:rPr>
            </w:pPr>
            <w:r w:rsidRPr="00A921EC">
              <w:rPr>
                <w:sz w:val="20"/>
              </w:rPr>
              <w:t>€/m</w:t>
            </w:r>
          </w:p>
        </w:tc>
        <w:tc>
          <w:tcPr>
            <w:tcW w:w="916" w:type="dxa"/>
            <w:vAlign w:val="center"/>
          </w:tcPr>
          <w:p w:rsidR="00C74898" w:rsidRPr="00A921EC" w:rsidRDefault="00E77178" w:rsidP="00E77178">
            <w:pPr>
              <w:jc w:val="right"/>
              <w:rPr>
                <w:sz w:val="20"/>
              </w:rPr>
            </w:pPr>
            <w:r>
              <w:rPr>
                <w:sz w:val="20"/>
              </w:rPr>
              <w:t>348</w:t>
            </w:r>
            <w:r w:rsidR="00606EB8">
              <w:rPr>
                <w:sz w:val="20"/>
              </w:rPr>
              <w:t>,</w:t>
            </w:r>
            <w:r>
              <w:rPr>
                <w:sz w:val="20"/>
              </w:rPr>
              <w:t>91</w:t>
            </w:r>
          </w:p>
        </w:tc>
      </w:tr>
      <w:tr w:rsidR="0005788F" w:rsidRPr="00A921EC" w:rsidTr="005101C7">
        <w:trPr>
          <w:trHeight w:val="340"/>
        </w:trPr>
        <w:tc>
          <w:tcPr>
            <w:tcW w:w="7233" w:type="dxa"/>
            <w:tcBorders>
              <w:bottom w:val="single" w:sz="4" w:space="0" w:color="auto"/>
            </w:tcBorders>
            <w:vAlign w:val="center"/>
          </w:tcPr>
          <w:p w:rsidR="0005788F" w:rsidRPr="00A921EC" w:rsidRDefault="00AF2415" w:rsidP="00F12B7B">
            <w:pPr>
              <w:rPr>
                <w:sz w:val="20"/>
              </w:rPr>
            </w:pPr>
            <w:r>
              <w:rPr>
                <w:sz w:val="20"/>
              </w:rPr>
              <w:t>Autres prestations</w:t>
            </w:r>
            <w:r w:rsidR="00F12B7B">
              <w:rPr>
                <w:sz w:val="20"/>
              </w:rPr>
              <w:t>, suppléments</w:t>
            </w:r>
            <w:r>
              <w:rPr>
                <w:sz w:val="20"/>
              </w:rPr>
              <w:t xml:space="preserve"> ou spécifications</w:t>
            </w:r>
            <w:r w:rsidR="00F12B7B">
              <w:rPr>
                <w:sz w:val="20"/>
              </w:rPr>
              <w:t xml:space="preserve"> hors standard</w:t>
            </w:r>
          </w:p>
        </w:tc>
        <w:tc>
          <w:tcPr>
            <w:tcW w:w="913" w:type="dxa"/>
            <w:tcBorders>
              <w:bottom w:val="single" w:sz="4" w:space="0" w:color="auto"/>
            </w:tcBorders>
            <w:vAlign w:val="center"/>
          </w:tcPr>
          <w:p w:rsidR="0005788F" w:rsidRPr="00A921EC" w:rsidRDefault="00CA0B27" w:rsidP="00AF2415">
            <w:pPr>
              <w:rPr>
                <w:sz w:val="20"/>
              </w:rPr>
            </w:pPr>
            <w:r w:rsidRPr="00A921EC">
              <w:rPr>
                <w:sz w:val="20"/>
              </w:rPr>
              <w:t>€</w:t>
            </w:r>
          </w:p>
        </w:tc>
        <w:tc>
          <w:tcPr>
            <w:tcW w:w="916" w:type="dxa"/>
            <w:tcBorders>
              <w:bottom w:val="single" w:sz="4" w:space="0" w:color="auto"/>
            </w:tcBorders>
            <w:vAlign w:val="center"/>
          </w:tcPr>
          <w:p w:rsidR="0005788F" w:rsidRPr="00A921EC" w:rsidRDefault="00AF2415" w:rsidP="005101C7">
            <w:pPr>
              <w:jc w:val="right"/>
              <w:rPr>
                <w:sz w:val="20"/>
              </w:rPr>
            </w:pPr>
            <w:r>
              <w:rPr>
                <w:sz w:val="20"/>
              </w:rPr>
              <w:t>D</w:t>
            </w:r>
            <w:r w:rsidR="005101C7">
              <w:rPr>
                <w:sz w:val="20"/>
              </w:rPr>
              <w:t>EVIS</w:t>
            </w:r>
          </w:p>
        </w:tc>
      </w:tr>
      <w:tr w:rsidR="007D77C8" w:rsidRPr="007A7C00" w:rsidTr="007D77C8">
        <w:trPr>
          <w:trHeight w:val="567"/>
        </w:trPr>
        <w:tc>
          <w:tcPr>
            <w:tcW w:w="9062" w:type="dxa"/>
            <w:gridSpan w:val="3"/>
            <w:tcBorders>
              <w:top w:val="single" w:sz="4" w:space="0" w:color="auto"/>
              <w:left w:val="nil"/>
              <w:bottom w:val="single" w:sz="4" w:space="0" w:color="auto"/>
              <w:right w:val="nil"/>
            </w:tcBorders>
            <w:shd w:val="clear" w:color="auto" w:fill="auto"/>
            <w:vAlign w:val="center"/>
          </w:tcPr>
          <w:p w:rsidR="007D77C8" w:rsidRPr="007A7C00" w:rsidRDefault="007D77C8" w:rsidP="0005788F">
            <w:pPr>
              <w:rPr>
                <w:b/>
                <w:sz w:val="32"/>
              </w:rPr>
            </w:pPr>
          </w:p>
        </w:tc>
      </w:tr>
      <w:tr w:rsidR="0005788F" w:rsidRPr="007A7C00" w:rsidTr="005E10AE">
        <w:trPr>
          <w:trHeight w:val="567"/>
        </w:trPr>
        <w:tc>
          <w:tcPr>
            <w:tcW w:w="9062" w:type="dxa"/>
            <w:gridSpan w:val="3"/>
            <w:tcBorders>
              <w:top w:val="single" w:sz="4" w:space="0" w:color="auto"/>
            </w:tcBorders>
            <w:shd w:val="clear" w:color="auto" w:fill="D9E2F3" w:themeFill="accent5" w:themeFillTint="33"/>
            <w:vAlign w:val="center"/>
          </w:tcPr>
          <w:p w:rsidR="0005788F" w:rsidRPr="005E10AE" w:rsidRDefault="0005788F" w:rsidP="0005788F">
            <w:pPr>
              <w:rPr>
                <w:b/>
                <w:sz w:val="28"/>
                <w:szCs w:val="28"/>
              </w:rPr>
            </w:pPr>
            <w:r w:rsidRPr="005E10AE">
              <w:rPr>
                <w:b/>
                <w:sz w:val="28"/>
                <w:szCs w:val="28"/>
              </w:rPr>
              <w:t>Remarques</w:t>
            </w:r>
          </w:p>
        </w:tc>
      </w:tr>
      <w:tr w:rsidR="0005788F" w:rsidRPr="007A7C00" w:rsidTr="00684B3E">
        <w:trPr>
          <w:trHeight w:val="397"/>
        </w:trPr>
        <w:tc>
          <w:tcPr>
            <w:tcW w:w="9062" w:type="dxa"/>
            <w:gridSpan w:val="3"/>
            <w:shd w:val="clear" w:color="auto" w:fill="auto"/>
            <w:vAlign w:val="center"/>
          </w:tcPr>
          <w:p w:rsidR="0005788F" w:rsidRPr="00A921EC" w:rsidRDefault="0005788F" w:rsidP="00A921EC">
            <w:pPr>
              <w:pStyle w:val="Paragraphedeliste"/>
              <w:numPr>
                <w:ilvl w:val="0"/>
                <w:numId w:val="6"/>
              </w:numPr>
              <w:jc w:val="both"/>
              <w:rPr>
                <w:sz w:val="20"/>
              </w:rPr>
            </w:pPr>
            <w:r w:rsidRPr="00A921EC">
              <w:rPr>
                <w:sz w:val="20"/>
              </w:rPr>
              <w:t>Tous les prix sont indiqués hors TVA</w:t>
            </w:r>
            <w:r w:rsidR="005101C7">
              <w:rPr>
                <w:sz w:val="20"/>
              </w:rPr>
              <w:t>.</w:t>
            </w:r>
          </w:p>
        </w:tc>
      </w:tr>
      <w:tr w:rsidR="001B17F7" w:rsidRPr="007A7C00" w:rsidTr="00684B3E">
        <w:trPr>
          <w:trHeight w:val="397"/>
        </w:trPr>
        <w:tc>
          <w:tcPr>
            <w:tcW w:w="9062" w:type="dxa"/>
            <w:gridSpan w:val="3"/>
            <w:shd w:val="clear" w:color="auto" w:fill="auto"/>
            <w:vAlign w:val="center"/>
          </w:tcPr>
          <w:p w:rsidR="001B17F7" w:rsidRPr="00A921EC" w:rsidRDefault="001B17F7" w:rsidP="00ED793E">
            <w:pPr>
              <w:pStyle w:val="Paragraphedeliste"/>
              <w:numPr>
                <w:ilvl w:val="0"/>
                <w:numId w:val="6"/>
              </w:numPr>
              <w:jc w:val="both"/>
              <w:rPr>
                <w:sz w:val="20"/>
              </w:rPr>
            </w:pPr>
            <w:r w:rsidRPr="00A921EC">
              <w:rPr>
                <w:sz w:val="20"/>
              </w:rPr>
              <w:t xml:space="preserve">Document de référence: règlement pour l’équipement en </w:t>
            </w:r>
            <w:r w:rsidR="00ED793E">
              <w:rPr>
                <w:sz w:val="20"/>
              </w:rPr>
              <w:t>gaz</w:t>
            </w:r>
            <w:r w:rsidRPr="00A921EC">
              <w:rPr>
                <w:sz w:val="20"/>
              </w:rPr>
              <w:t xml:space="preserve"> de terrain à viabiliser.</w:t>
            </w:r>
          </w:p>
        </w:tc>
      </w:tr>
      <w:tr w:rsidR="0005788F" w:rsidRPr="00A921EC" w:rsidTr="005E10AE">
        <w:trPr>
          <w:trHeight w:val="397"/>
        </w:trPr>
        <w:tc>
          <w:tcPr>
            <w:tcW w:w="9062" w:type="dxa"/>
            <w:gridSpan w:val="3"/>
            <w:shd w:val="clear" w:color="auto" w:fill="D9E2F3" w:themeFill="accent5" w:themeFillTint="33"/>
            <w:vAlign w:val="center"/>
          </w:tcPr>
          <w:p w:rsidR="0005788F" w:rsidRPr="00A921EC" w:rsidRDefault="005E10AE" w:rsidP="0005788F">
            <w:pPr>
              <w:rPr>
                <w:b/>
                <w:sz w:val="28"/>
              </w:rPr>
            </w:pPr>
            <w:r w:rsidRPr="00A921EC">
              <w:rPr>
                <w:b/>
                <w:sz w:val="28"/>
              </w:rPr>
              <w:t xml:space="preserve">Etude </w:t>
            </w:r>
          </w:p>
        </w:tc>
      </w:tr>
      <w:tr w:rsidR="0005788F" w:rsidRPr="007A7C00" w:rsidTr="0005788F">
        <w:trPr>
          <w:trHeight w:val="340"/>
        </w:trPr>
        <w:tc>
          <w:tcPr>
            <w:tcW w:w="9062" w:type="dxa"/>
            <w:gridSpan w:val="3"/>
            <w:vAlign w:val="center"/>
          </w:tcPr>
          <w:p w:rsidR="0005788F" w:rsidRPr="00A921EC" w:rsidRDefault="0005788F" w:rsidP="00EC29A6">
            <w:pPr>
              <w:pStyle w:val="Paragraphedeliste"/>
              <w:numPr>
                <w:ilvl w:val="0"/>
                <w:numId w:val="6"/>
              </w:numPr>
              <w:jc w:val="both"/>
              <w:rPr>
                <w:sz w:val="20"/>
              </w:rPr>
            </w:pPr>
            <w:r w:rsidRPr="00A921EC">
              <w:rPr>
                <w:sz w:val="20"/>
              </w:rPr>
              <w:t xml:space="preserve">Par demandeur, on entend toute personne physique ou morale introduisant </w:t>
            </w:r>
            <w:r w:rsidR="00FE760E">
              <w:rPr>
                <w:sz w:val="20"/>
              </w:rPr>
              <w:t xml:space="preserve">ou non </w:t>
            </w:r>
            <w:r w:rsidRPr="00A921EC">
              <w:rPr>
                <w:sz w:val="20"/>
              </w:rPr>
              <w:t xml:space="preserve">une demande de viabilisation de terrain. </w:t>
            </w:r>
          </w:p>
          <w:p w:rsidR="0005788F" w:rsidRPr="00A921EC" w:rsidRDefault="0005788F" w:rsidP="00EC29A6">
            <w:pPr>
              <w:pStyle w:val="Paragraphedeliste"/>
              <w:numPr>
                <w:ilvl w:val="0"/>
                <w:numId w:val="6"/>
              </w:numPr>
              <w:jc w:val="both"/>
              <w:rPr>
                <w:sz w:val="20"/>
              </w:rPr>
            </w:pPr>
            <w:r w:rsidRPr="00A921EC">
              <w:rPr>
                <w:sz w:val="20"/>
              </w:rPr>
              <w:t>Dans le cas particulier d'une construction ou d'un habitat groupé ou d'une division intervenant dans le cadre d'une donation, d'un partage successoral, de tout autre morcellement résultant d'une opération immobilière, c'est l'auteur de la viabilisation ou ses ayants droits qui sont titulaires de l'obligation de paiement de la viabilisation du terrain</w:t>
            </w:r>
            <w:r w:rsidR="00C139E0">
              <w:rPr>
                <w:sz w:val="20"/>
              </w:rPr>
              <w:t>.</w:t>
            </w:r>
          </w:p>
          <w:p w:rsidR="0005788F" w:rsidRPr="00A921EC" w:rsidRDefault="0005788F" w:rsidP="00EC29A6">
            <w:pPr>
              <w:pStyle w:val="Paragraphedeliste"/>
              <w:numPr>
                <w:ilvl w:val="0"/>
                <w:numId w:val="6"/>
              </w:numPr>
              <w:jc w:val="both"/>
              <w:rPr>
                <w:sz w:val="20"/>
              </w:rPr>
            </w:pPr>
            <w:r w:rsidRPr="00A921EC">
              <w:rPr>
                <w:sz w:val="20"/>
              </w:rPr>
              <w:t>Ce montant couvre les frais d’étude préliminaire et reste définitivement acquis à RESA même en cas de non viabilisation du terrain.</w:t>
            </w:r>
          </w:p>
          <w:p w:rsidR="0005788F" w:rsidRPr="00A921EC" w:rsidRDefault="0005788F" w:rsidP="00EC29A6">
            <w:pPr>
              <w:pStyle w:val="Paragraphedeliste"/>
              <w:numPr>
                <w:ilvl w:val="0"/>
                <w:numId w:val="6"/>
              </w:numPr>
              <w:jc w:val="both"/>
              <w:rPr>
                <w:sz w:val="20"/>
              </w:rPr>
            </w:pPr>
            <w:r w:rsidRPr="00A921EC">
              <w:rPr>
                <w:sz w:val="20"/>
              </w:rPr>
              <w:t>Si une demande de viabilisation de terrain est introduite par plusieurs demandeurs, ce montant sera facturé autant de fois qu’il y a de demandeurs. Par contre, si plusieurs demandes sont introduites par le même demandeur pour un même terrain à viabiliser (hors les cas de modification de voiries) (par exemple si le nombre de parcelles estimé devait changer), ce montant ne sera facturé qu’une seule fois.</w:t>
            </w:r>
          </w:p>
          <w:p w:rsidR="0005788F" w:rsidRPr="007A7C00" w:rsidRDefault="0005788F" w:rsidP="00EC29A6">
            <w:pPr>
              <w:pStyle w:val="Paragraphedeliste"/>
              <w:numPr>
                <w:ilvl w:val="0"/>
                <w:numId w:val="6"/>
              </w:numPr>
              <w:jc w:val="both"/>
              <w:rPr>
                <w:lang w:eastAsia="fr-BE"/>
              </w:rPr>
            </w:pPr>
            <w:r w:rsidRPr="00A921EC">
              <w:rPr>
                <w:sz w:val="20"/>
              </w:rPr>
              <w:t>L’ouverture de dossier est payante pour la viabilisation d’un terrain destiné à des projets d’urbanisation à caractère social</w:t>
            </w:r>
            <w:r w:rsidR="00EC627D">
              <w:rPr>
                <w:sz w:val="20"/>
              </w:rPr>
              <w:t>.</w:t>
            </w:r>
          </w:p>
          <w:p w:rsidR="005A7634" w:rsidRPr="007A7C00" w:rsidRDefault="005A7634" w:rsidP="005A7634">
            <w:pPr>
              <w:pStyle w:val="Paragraphedeliste"/>
              <w:jc w:val="both"/>
              <w:rPr>
                <w:lang w:eastAsia="fr-BE"/>
              </w:rPr>
            </w:pPr>
          </w:p>
        </w:tc>
      </w:tr>
      <w:tr w:rsidR="0005788F" w:rsidRPr="00A921EC" w:rsidTr="005E10AE">
        <w:trPr>
          <w:trHeight w:val="397"/>
        </w:trPr>
        <w:tc>
          <w:tcPr>
            <w:tcW w:w="9062" w:type="dxa"/>
            <w:gridSpan w:val="3"/>
            <w:shd w:val="clear" w:color="auto" w:fill="D9E2F3" w:themeFill="accent5" w:themeFillTint="33"/>
            <w:vAlign w:val="center"/>
          </w:tcPr>
          <w:p w:rsidR="0005788F" w:rsidRPr="00A921EC" w:rsidRDefault="005E10AE" w:rsidP="00EB4E44">
            <w:pPr>
              <w:rPr>
                <w:b/>
                <w:sz w:val="28"/>
              </w:rPr>
            </w:pPr>
            <w:r w:rsidRPr="00A921EC">
              <w:rPr>
                <w:b/>
                <w:sz w:val="28"/>
              </w:rPr>
              <w:t>Travaux d’</w:t>
            </w:r>
            <w:r>
              <w:rPr>
                <w:b/>
                <w:sz w:val="28"/>
              </w:rPr>
              <w:t>alimentation en gaz</w:t>
            </w:r>
          </w:p>
        </w:tc>
      </w:tr>
      <w:tr w:rsidR="0005788F" w:rsidRPr="007A7C00" w:rsidTr="0005788F">
        <w:trPr>
          <w:trHeight w:val="340"/>
        </w:trPr>
        <w:tc>
          <w:tcPr>
            <w:tcW w:w="9062" w:type="dxa"/>
            <w:gridSpan w:val="3"/>
            <w:vAlign w:val="center"/>
          </w:tcPr>
          <w:p w:rsidR="00EC29A6" w:rsidRPr="007A7C00" w:rsidRDefault="00EC29A6" w:rsidP="00EC29A6">
            <w:pPr>
              <w:pStyle w:val="Paragraphedeliste"/>
              <w:jc w:val="both"/>
            </w:pPr>
          </w:p>
          <w:p w:rsidR="00EB4E44" w:rsidRDefault="00EB4E44" w:rsidP="00EB4E44">
            <w:pPr>
              <w:pStyle w:val="Paragraphedeliste"/>
              <w:numPr>
                <w:ilvl w:val="0"/>
                <w:numId w:val="6"/>
              </w:numPr>
              <w:jc w:val="both"/>
              <w:rPr>
                <w:sz w:val="20"/>
              </w:rPr>
            </w:pPr>
            <w:r>
              <w:rPr>
                <w:sz w:val="20"/>
              </w:rPr>
              <w:t>RESA</w:t>
            </w:r>
            <w:r w:rsidRPr="00EB4E44">
              <w:rPr>
                <w:sz w:val="20"/>
              </w:rPr>
              <w:t xml:space="preserve"> procède à un calcul de rentabilité suivant les modalités imposées par la CWaPE. Le calcul de rentabilité est réalisé sur l’ensemble des travaux d’extension du ré</w:t>
            </w:r>
            <w:r w:rsidR="00FE760E">
              <w:rPr>
                <w:sz w:val="20"/>
              </w:rPr>
              <w:t>seau et d’équipement du terrain.</w:t>
            </w:r>
            <w:r w:rsidRPr="00EB4E44">
              <w:rPr>
                <w:sz w:val="20"/>
              </w:rPr>
              <w:t xml:space="preserve"> </w:t>
            </w:r>
          </w:p>
          <w:p w:rsidR="00EB4E44" w:rsidRDefault="00EB4E44" w:rsidP="00EB4E44">
            <w:pPr>
              <w:pStyle w:val="Paragraphedeliste"/>
              <w:numPr>
                <w:ilvl w:val="0"/>
                <w:numId w:val="6"/>
              </w:numPr>
              <w:jc w:val="both"/>
              <w:rPr>
                <w:sz w:val="20"/>
              </w:rPr>
            </w:pPr>
            <w:r w:rsidRPr="00EB4E44">
              <w:rPr>
                <w:sz w:val="20"/>
              </w:rPr>
              <w:t xml:space="preserve">Si la rentabilité est positive, les travaux seront pris en charge par </w:t>
            </w:r>
            <w:r>
              <w:rPr>
                <w:sz w:val="20"/>
              </w:rPr>
              <w:t>RESA</w:t>
            </w:r>
            <w:r w:rsidR="00FE760E">
              <w:rPr>
                <w:sz w:val="20"/>
              </w:rPr>
              <w:t>, à l’exception des forfaits d’équipement.</w:t>
            </w:r>
            <w:r w:rsidRPr="00EB4E44">
              <w:rPr>
                <w:sz w:val="20"/>
              </w:rPr>
              <w:t xml:space="preserve"> </w:t>
            </w:r>
          </w:p>
          <w:p w:rsidR="00EB4E44" w:rsidRDefault="00EB4E44" w:rsidP="00EB4E44">
            <w:pPr>
              <w:pStyle w:val="Paragraphedeliste"/>
              <w:numPr>
                <w:ilvl w:val="0"/>
                <w:numId w:val="6"/>
              </w:numPr>
              <w:jc w:val="both"/>
              <w:rPr>
                <w:sz w:val="20"/>
              </w:rPr>
            </w:pPr>
            <w:r w:rsidRPr="00EB4E44">
              <w:rPr>
                <w:sz w:val="20"/>
              </w:rPr>
              <w:t>Si le résultat du calcul de rentabilité révèle un déficit et que la commune impose le gaz, le demandeur se voit fac</w:t>
            </w:r>
            <w:r w:rsidR="00FE760E">
              <w:rPr>
                <w:sz w:val="20"/>
              </w:rPr>
              <w:t>turer le déficit de rentabilité en plus des forfaits.</w:t>
            </w:r>
          </w:p>
          <w:p w:rsidR="00C139E0" w:rsidRDefault="00C139E0" w:rsidP="00EB4E44">
            <w:pPr>
              <w:pStyle w:val="Paragraphedeliste"/>
              <w:numPr>
                <w:ilvl w:val="0"/>
                <w:numId w:val="6"/>
              </w:numPr>
              <w:jc w:val="both"/>
              <w:rPr>
                <w:sz w:val="20"/>
              </w:rPr>
            </w:pPr>
            <w:r>
              <w:rPr>
                <w:sz w:val="20"/>
              </w:rPr>
              <w:lastRenderedPageBreak/>
              <w:t>Néanmoins, toute autre personne physique ou morale ayant un intérêt dans l’extension du réseau peut prendre en charge les frais d’équipement.</w:t>
            </w:r>
          </w:p>
          <w:p w:rsidR="00EB4E44" w:rsidRPr="00EB4E44" w:rsidRDefault="00EB4E44" w:rsidP="00EB4E44">
            <w:pPr>
              <w:pStyle w:val="Paragraphedeliste"/>
              <w:numPr>
                <w:ilvl w:val="0"/>
                <w:numId w:val="6"/>
              </w:numPr>
              <w:jc w:val="both"/>
              <w:rPr>
                <w:sz w:val="20"/>
              </w:rPr>
            </w:pPr>
            <w:r w:rsidRPr="00EB4E44">
              <w:rPr>
                <w:sz w:val="20"/>
              </w:rPr>
              <w:t xml:space="preserve">Les travaux hors lotissement sont toujours intégralement réalisés par </w:t>
            </w:r>
            <w:r>
              <w:rPr>
                <w:sz w:val="20"/>
              </w:rPr>
              <w:t>RESA</w:t>
            </w:r>
            <w:r w:rsidRPr="00EB4E44">
              <w:rPr>
                <w:sz w:val="20"/>
              </w:rPr>
              <w:t xml:space="preserve"> (terrassement, pose de canalisation et mise </w:t>
            </w:r>
            <w:r w:rsidR="005E10AE">
              <w:rPr>
                <w:sz w:val="20"/>
              </w:rPr>
              <w:t>sous</w:t>
            </w:r>
            <w:r w:rsidRPr="00EB4E44">
              <w:rPr>
                <w:sz w:val="20"/>
              </w:rPr>
              <w:t xml:space="preserve"> gaz).</w:t>
            </w:r>
          </w:p>
          <w:p w:rsidR="00EB4E44" w:rsidRPr="00EB4E44" w:rsidRDefault="00EB4E44" w:rsidP="00EB4E44">
            <w:pPr>
              <w:pStyle w:val="Paragraphedeliste"/>
              <w:numPr>
                <w:ilvl w:val="0"/>
                <w:numId w:val="6"/>
              </w:numPr>
              <w:jc w:val="both"/>
              <w:rPr>
                <w:sz w:val="20"/>
              </w:rPr>
            </w:pPr>
            <w:r w:rsidRPr="00EB4E44">
              <w:rPr>
                <w:sz w:val="20"/>
              </w:rPr>
              <w:t xml:space="preserve">Les montants forfaitaires à charge du demandeur couvrent les frais de construction du réseau gaz le long des limites du terrain à viabiliser et tiennent compte du fait que les tranchées sont soit ouvertes par le demandeur soit par </w:t>
            </w:r>
            <w:r>
              <w:rPr>
                <w:sz w:val="20"/>
              </w:rPr>
              <w:t>RESA</w:t>
            </w:r>
            <w:r w:rsidRPr="00EB4E44">
              <w:rPr>
                <w:sz w:val="20"/>
              </w:rPr>
              <w:t xml:space="preserve"> :</w:t>
            </w:r>
          </w:p>
          <w:p w:rsidR="00EB4E44" w:rsidRDefault="00EB4E44" w:rsidP="00EB4E44">
            <w:pPr>
              <w:pStyle w:val="Paragraphedeliste"/>
              <w:numPr>
                <w:ilvl w:val="1"/>
                <w:numId w:val="6"/>
              </w:numPr>
              <w:jc w:val="both"/>
              <w:rPr>
                <w:sz w:val="20"/>
              </w:rPr>
            </w:pPr>
            <w:r w:rsidRPr="00EB4E44">
              <w:rPr>
                <w:sz w:val="20"/>
              </w:rPr>
              <w:t xml:space="preserve">éventuellement pose réseau moyenne pression, construction du bâtiment, équipement et raccordement d’une cabine préfabriquée standard éventuelle, à l'exception des frais provenant de finitions particulières exigées au permis de bâtir de la cabine gaz. </w:t>
            </w:r>
          </w:p>
          <w:p w:rsidR="0086760C" w:rsidRDefault="00EB4E44" w:rsidP="0086760C">
            <w:pPr>
              <w:pStyle w:val="Paragraphedeliste"/>
              <w:numPr>
                <w:ilvl w:val="2"/>
                <w:numId w:val="6"/>
              </w:numPr>
              <w:jc w:val="both"/>
              <w:rPr>
                <w:sz w:val="20"/>
              </w:rPr>
            </w:pPr>
            <w:r w:rsidRPr="00EB4E44">
              <w:rPr>
                <w:sz w:val="20"/>
              </w:rPr>
              <w:t xml:space="preserve">Ces éventuels frais supplémentaires font l'objet d'une offre </w:t>
            </w:r>
            <w:r w:rsidR="00FE760E">
              <w:rPr>
                <w:sz w:val="20"/>
              </w:rPr>
              <w:t xml:space="preserve">ultérieure </w:t>
            </w:r>
            <w:r w:rsidRPr="00EB4E44">
              <w:rPr>
                <w:sz w:val="20"/>
              </w:rPr>
              <w:t xml:space="preserve">ou d'une facture dont le montant est à charge du demandeur ou du titulaire de l'obligation de paiement, </w:t>
            </w:r>
          </w:p>
          <w:p w:rsidR="0086760C" w:rsidRDefault="00EB4E44" w:rsidP="0086760C">
            <w:pPr>
              <w:pStyle w:val="Paragraphedeliste"/>
              <w:numPr>
                <w:ilvl w:val="1"/>
                <w:numId w:val="6"/>
              </w:numPr>
              <w:jc w:val="both"/>
              <w:rPr>
                <w:sz w:val="20"/>
              </w:rPr>
            </w:pPr>
            <w:r w:rsidRPr="00EB4E44">
              <w:rPr>
                <w:sz w:val="20"/>
              </w:rPr>
              <w:t xml:space="preserve">pose du réseau basse pression, </w:t>
            </w:r>
          </w:p>
          <w:p w:rsidR="0086760C" w:rsidRDefault="00EB4E44" w:rsidP="0086760C">
            <w:pPr>
              <w:pStyle w:val="Paragraphedeliste"/>
              <w:numPr>
                <w:ilvl w:val="1"/>
                <w:numId w:val="6"/>
              </w:numPr>
              <w:jc w:val="both"/>
              <w:rPr>
                <w:sz w:val="20"/>
              </w:rPr>
            </w:pPr>
            <w:r w:rsidRPr="00EB4E44">
              <w:rPr>
                <w:sz w:val="20"/>
              </w:rPr>
              <w:t>la fou</w:t>
            </w:r>
            <w:r w:rsidR="00FE760E">
              <w:rPr>
                <w:sz w:val="20"/>
              </w:rPr>
              <w:t>rniture de 10 m³/h par parcelle,</w:t>
            </w:r>
          </w:p>
          <w:p w:rsidR="00FE760E" w:rsidRDefault="00FE760E" w:rsidP="0086760C">
            <w:pPr>
              <w:pStyle w:val="Paragraphedeliste"/>
              <w:numPr>
                <w:ilvl w:val="1"/>
                <w:numId w:val="6"/>
              </w:numPr>
              <w:jc w:val="both"/>
              <w:rPr>
                <w:sz w:val="20"/>
              </w:rPr>
            </w:pPr>
            <w:r>
              <w:rPr>
                <w:sz w:val="20"/>
              </w:rPr>
              <w:t>hors travaux spéciaux.</w:t>
            </w:r>
          </w:p>
          <w:p w:rsidR="0086760C" w:rsidRPr="00FE760E" w:rsidRDefault="0086760C" w:rsidP="0086760C">
            <w:pPr>
              <w:pStyle w:val="Paragraphedeliste"/>
              <w:numPr>
                <w:ilvl w:val="0"/>
                <w:numId w:val="6"/>
              </w:numPr>
              <w:jc w:val="both"/>
              <w:rPr>
                <w:sz w:val="20"/>
              </w:rPr>
            </w:pPr>
            <w:r>
              <w:rPr>
                <w:sz w:val="20"/>
              </w:rPr>
              <w:t>RESA</w:t>
            </w:r>
            <w:r w:rsidR="00EB4E44" w:rsidRPr="00EB4E44">
              <w:rPr>
                <w:sz w:val="20"/>
              </w:rPr>
              <w:t xml:space="preserve"> bénéficie d'un terrain mis à disposition par le demandeur, si nécessaire, selon les conditions du règlement pour la viabilisation de terrain et destiné à la construction et l'aménagement d'une cabine gaz par </w:t>
            </w:r>
            <w:r>
              <w:rPr>
                <w:sz w:val="20"/>
              </w:rPr>
              <w:t>RESA</w:t>
            </w:r>
            <w:r w:rsidR="00EB4E44" w:rsidRPr="00EB4E44">
              <w:rPr>
                <w:sz w:val="20"/>
              </w:rPr>
              <w:t>.</w:t>
            </w:r>
          </w:p>
          <w:p w:rsidR="00B62798" w:rsidRPr="00FE760E" w:rsidRDefault="00EB4E44" w:rsidP="00FE760E">
            <w:pPr>
              <w:pStyle w:val="Paragraphedeliste"/>
              <w:numPr>
                <w:ilvl w:val="0"/>
                <w:numId w:val="6"/>
              </w:numPr>
              <w:jc w:val="both"/>
              <w:rPr>
                <w:sz w:val="20"/>
              </w:rPr>
            </w:pPr>
            <w:r w:rsidRPr="00EB4E44">
              <w:rPr>
                <w:sz w:val="20"/>
              </w:rPr>
              <w:t>Les montants ne comprennent pas la réalisation des raccordements individuels (éventuellement gratuits si conformes au décret gaz)</w:t>
            </w:r>
            <w:r w:rsidR="00EC627D">
              <w:rPr>
                <w:sz w:val="20"/>
              </w:rPr>
              <w:t>.</w:t>
            </w:r>
          </w:p>
          <w:p w:rsidR="00EC29A6" w:rsidRPr="007A7C00" w:rsidRDefault="00EC29A6" w:rsidP="00FE760E">
            <w:pPr>
              <w:pStyle w:val="Paragraphedeliste"/>
              <w:jc w:val="both"/>
              <w:rPr>
                <w:lang w:eastAsia="fr-BE"/>
              </w:rPr>
            </w:pPr>
          </w:p>
        </w:tc>
      </w:tr>
    </w:tbl>
    <w:p w:rsidR="0063788B" w:rsidRPr="007A7C00" w:rsidRDefault="0063788B">
      <w:r w:rsidRPr="007A7C00">
        <w:lastRenderedPageBreak/>
        <w:br w:type="page"/>
      </w:r>
    </w:p>
    <w:tbl>
      <w:tblPr>
        <w:tblStyle w:val="Grilledutableau"/>
        <w:tblW w:w="0" w:type="auto"/>
        <w:tblLook w:val="04A0" w:firstRow="1" w:lastRow="0" w:firstColumn="1" w:lastColumn="0" w:noHBand="0" w:noVBand="1"/>
      </w:tblPr>
      <w:tblGrid>
        <w:gridCol w:w="9060"/>
      </w:tblGrid>
      <w:tr w:rsidR="0063788B" w:rsidRPr="00A921EC" w:rsidTr="005E10AE">
        <w:trPr>
          <w:trHeight w:val="583"/>
        </w:trPr>
        <w:tc>
          <w:tcPr>
            <w:tcW w:w="9062" w:type="dxa"/>
            <w:shd w:val="clear" w:color="auto" w:fill="D9E2F3" w:themeFill="accent5" w:themeFillTint="33"/>
            <w:vAlign w:val="center"/>
          </w:tcPr>
          <w:p w:rsidR="0063788B" w:rsidRPr="00A921EC" w:rsidRDefault="0063788B" w:rsidP="0063788B">
            <w:pPr>
              <w:rPr>
                <w:b/>
                <w:sz w:val="28"/>
              </w:rPr>
            </w:pPr>
            <w:r w:rsidRPr="00A921EC">
              <w:rPr>
                <w:b/>
                <w:sz w:val="28"/>
              </w:rPr>
              <w:lastRenderedPageBreak/>
              <w:t>Définition des mètres de voirie et schématique:</w:t>
            </w:r>
          </w:p>
        </w:tc>
      </w:tr>
      <w:tr w:rsidR="0063788B" w:rsidRPr="007A7C00" w:rsidTr="00A921EC">
        <w:trPr>
          <w:trHeight w:val="2263"/>
        </w:trPr>
        <w:tc>
          <w:tcPr>
            <w:tcW w:w="9062" w:type="dxa"/>
            <w:vAlign w:val="center"/>
          </w:tcPr>
          <w:p w:rsidR="0063788B" w:rsidRPr="00A921EC" w:rsidRDefault="0063788B" w:rsidP="0063788B">
            <w:pPr>
              <w:pStyle w:val="Paragraphedeliste"/>
              <w:numPr>
                <w:ilvl w:val="0"/>
                <w:numId w:val="6"/>
              </w:numPr>
              <w:jc w:val="both"/>
              <w:rPr>
                <w:sz w:val="20"/>
              </w:rPr>
            </w:pPr>
            <w:r w:rsidRPr="00A921EC">
              <w:rPr>
                <w:sz w:val="20"/>
              </w:rPr>
              <w:t xml:space="preserve">Ce sont les mètres courants du terrain à viabiliser, en limite de propriété privée, qui longent la voirie existante équipée ou non et, s’il y en a, la (les) nouvelles(s) voirie(s) à créer. </w:t>
            </w:r>
          </w:p>
          <w:p w:rsidR="00B62798" w:rsidRPr="004914FB" w:rsidRDefault="0063788B" w:rsidP="004914FB">
            <w:pPr>
              <w:pStyle w:val="Paragraphedeliste"/>
              <w:numPr>
                <w:ilvl w:val="0"/>
                <w:numId w:val="6"/>
              </w:numPr>
              <w:jc w:val="both"/>
              <w:rPr>
                <w:sz w:val="20"/>
              </w:rPr>
            </w:pPr>
            <w:r w:rsidRPr="00A921EC">
              <w:rPr>
                <w:sz w:val="20"/>
              </w:rPr>
              <w:t>La longueur à prendre en considération pour déterminer le nombre de mètres dans le calcul du tarif forfaitaire correspond à la longueur totale du terrain, avant morcellement, face à la</w:t>
            </w:r>
            <w:r w:rsidR="00EC627D">
              <w:rPr>
                <w:sz w:val="20"/>
              </w:rPr>
              <w:t xml:space="preserve"> </w:t>
            </w:r>
            <w:r w:rsidRPr="00A921EC">
              <w:rPr>
                <w:sz w:val="20"/>
              </w:rPr>
              <w:t>(</w:t>
            </w:r>
            <w:r w:rsidR="00EC627D">
              <w:rPr>
                <w:sz w:val="20"/>
              </w:rPr>
              <w:t>aux</w:t>
            </w:r>
            <w:r w:rsidRPr="00A921EC">
              <w:rPr>
                <w:sz w:val="20"/>
              </w:rPr>
              <w:t>) vo</w:t>
            </w:r>
            <w:r w:rsidR="00D0502C">
              <w:rPr>
                <w:sz w:val="20"/>
              </w:rPr>
              <w:t>irie(s) existante(s) ou à créer, au droit des parcelles à bâtir.</w:t>
            </w:r>
          </w:p>
        </w:tc>
      </w:tr>
      <w:tr w:rsidR="0063788B" w:rsidRPr="007A7C00" w:rsidTr="00DD73F9">
        <w:tblPrEx>
          <w:tblCellMar>
            <w:left w:w="70" w:type="dxa"/>
            <w:right w:w="70" w:type="dxa"/>
          </w:tblCellMar>
        </w:tblPrEx>
        <w:trPr>
          <w:trHeight w:val="340"/>
        </w:trPr>
        <w:tc>
          <w:tcPr>
            <w:tcW w:w="9062" w:type="dxa"/>
            <w:vAlign w:val="center"/>
          </w:tcPr>
          <w:p w:rsidR="0063788B" w:rsidRPr="007A7C00" w:rsidRDefault="0063788B" w:rsidP="00DD73F9">
            <w:pPr>
              <w:jc w:val="center"/>
            </w:pPr>
            <w:r w:rsidRPr="007A7C00">
              <w:rPr>
                <w:noProof/>
                <w:lang w:eastAsia="fr-BE"/>
              </w:rPr>
              <w:drawing>
                <wp:anchor distT="0" distB="0" distL="114300" distR="114300" simplePos="0" relativeHeight="251658240" behindDoc="1" locked="0" layoutInCell="1" allowOverlap="1">
                  <wp:simplePos x="0" y="0"/>
                  <wp:positionH relativeFrom="column">
                    <wp:posOffset>544830</wp:posOffset>
                  </wp:positionH>
                  <wp:positionV relativeFrom="paragraph">
                    <wp:posOffset>-3780155</wp:posOffset>
                  </wp:positionV>
                  <wp:extent cx="4355465" cy="3771265"/>
                  <wp:effectExtent l="0" t="0" r="6985" b="635"/>
                  <wp:wrapTopAndBottom/>
                  <wp:docPr id="2" name="Picture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0000000-0008-0000-0000-000002000000}"/>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55465" cy="3771265"/>
                          </a:xfrm>
                          <a:prstGeom prst="rect">
                            <a:avLst/>
                          </a:prstGeom>
                          <a:noFill/>
                          <a:ln w="1">
                            <a:noFill/>
                            <a:miter lim="800000"/>
                            <a:headEnd/>
                            <a:tailEnd type="none" w="med" len="med"/>
                          </a:ln>
                          <a:effectLst/>
                        </pic:spPr>
                      </pic:pic>
                    </a:graphicData>
                  </a:graphic>
                  <wp14:sizeRelH relativeFrom="margin">
                    <wp14:pctWidth>0</wp14:pctWidth>
                  </wp14:sizeRelH>
                  <wp14:sizeRelV relativeFrom="margin">
                    <wp14:pctHeight>0</wp14:pctHeight>
                  </wp14:sizeRelV>
                </wp:anchor>
              </w:drawing>
            </w:r>
          </w:p>
        </w:tc>
      </w:tr>
    </w:tbl>
    <w:p w:rsidR="0063788B" w:rsidRPr="007A7C00" w:rsidRDefault="0063788B">
      <w:r w:rsidRPr="007A7C00">
        <w:br w:type="page"/>
      </w:r>
    </w:p>
    <w:tbl>
      <w:tblPr>
        <w:tblStyle w:val="Grilledutableau"/>
        <w:tblW w:w="0" w:type="auto"/>
        <w:tblLook w:val="04A0" w:firstRow="1" w:lastRow="0" w:firstColumn="1" w:lastColumn="0" w:noHBand="0" w:noVBand="1"/>
      </w:tblPr>
      <w:tblGrid>
        <w:gridCol w:w="9060"/>
      </w:tblGrid>
      <w:tr w:rsidR="0063788B" w:rsidRPr="00A921EC" w:rsidTr="005E10AE">
        <w:trPr>
          <w:trHeight w:val="441"/>
        </w:trPr>
        <w:tc>
          <w:tcPr>
            <w:tcW w:w="9062" w:type="dxa"/>
            <w:shd w:val="clear" w:color="auto" w:fill="D9E2F3" w:themeFill="accent5" w:themeFillTint="33"/>
            <w:vAlign w:val="center"/>
          </w:tcPr>
          <w:p w:rsidR="0063788B" w:rsidRPr="00A921EC" w:rsidRDefault="0063788B" w:rsidP="0063788B">
            <w:pPr>
              <w:rPr>
                <w:b/>
                <w:sz w:val="28"/>
              </w:rPr>
            </w:pPr>
            <w:r w:rsidRPr="00A921EC">
              <w:rPr>
                <w:b/>
                <w:sz w:val="28"/>
              </w:rPr>
              <w:lastRenderedPageBreak/>
              <w:t>Modalités particulières d'application</w:t>
            </w:r>
          </w:p>
        </w:tc>
      </w:tr>
      <w:tr w:rsidR="0063788B" w:rsidRPr="007A7C00" w:rsidTr="0005788F">
        <w:trPr>
          <w:trHeight w:val="340"/>
        </w:trPr>
        <w:tc>
          <w:tcPr>
            <w:tcW w:w="9062" w:type="dxa"/>
            <w:vAlign w:val="center"/>
          </w:tcPr>
          <w:p w:rsidR="0063788B" w:rsidRPr="00B62798" w:rsidRDefault="0063788B" w:rsidP="00B62798">
            <w:pPr>
              <w:pStyle w:val="Paragraphedeliste"/>
              <w:numPr>
                <w:ilvl w:val="0"/>
                <w:numId w:val="6"/>
              </w:numPr>
              <w:jc w:val="both"/>
            </w:pPr>
            <w:r w:rsidRPr="00A921EC">
              <w:rPr>
                <w:sz w:val="20"/>
              </w:rPr>
              <w:t>Par exception à ce qui précède, pour les terrains à viabiliser suite à une division dans le cadre d’une donation, d’un partage successoral, d’un acte involontaire et autres : seuls les mètres de voirie de la partie du(des) terrain(s) sur la(les)quelle(s) une(des) nouvelle(s) construction(s) pourrait(pourraient)</w:t>
            </w:r>
            <w:r w:rsidR="00EC627D">
              <w:rPr>
                <w:sz w:val="20"/>
              </w:rPr>
              <w:t xml:space="preserve"> </w:t>
            </w:r>
            <w:r w:rsidRPr="00A921EC">
              <w:rPr>
                <w:sz w:val="20"/>
              </w:rPr>
              <w:t>être envisagée(s) sont pris en compte, avec un maximum de 20 mètres par parcelle issue du morcellement tel que visé dans la définition de terrain à viabiliser repris d</w:t>
            </w:r>
            <w:r w:rsidR="00B62798">
              <w:rPr>
                <w:sz w:val="20"/>
              </w:rPr>
              <w:t>ans le</w:t>
            </w:r>
            <w:r w:rsidRPr="00A921EC">
              <w:rPr>
                <w:sz w:val="20"/>
              </w:rPr>
              <w:t xml:space="preserve"> règlement pour l’équipement en </w:t>
            </w:r>
            <w:r w:rsidR="00B62798">
              <w:rPr>
                <w:sz w:val="20"/>
              </w:rPr>
              <w:t>gaz</w:t>
            </w:r>
            <w:r w:rsidRPr="00A921EC">
              <w:rPr>
                <w:sz w:val="20"/>
              </w:rPr>
              <w:t xml:space="preserve"> de terrain à viabiliser.</w:t>
            </w:r>
          </w:p>
          <w:p w:rsidR="00B62798" w:rsidRPr="007A7C00" w:rsidRDefault="00B62798" w:rsidP="00B62798">
            <w:pPr>
              <w:pStyle w:val="Paragraphedeliste"/>
              <w:jc w:val="both"/>
            </w:pPr>
          </w:p>
        </w:tc>
      </w:tr>
      <w:tr w:rsidR="0063788B" w:rsidRPr="007A7C00" w:rsidTr="0005788F">
        <w:trPr>
          <w:trHeight w:val="340"/>
        </w:trPr>
        <w:tc>
          <w:tcPr>
            <w:tcW w:w="9062" w:type="dxa"/>
            <w:vAlign w:val="center"/>
          </w:tcPr>
          <w:p w:rsidR="0063788B" w:rsidRPr="007A7C00" w:rsidRDefault="0063788B" w:rsidP="0063788B">
            <w:pPr>
              <w:jc w:val="both"/>
            </w:pPr>
          </w:p>
          <w:p w:rsidR="0063788B" w:rsidRPr="007A7C00" w:rsidRDefault="0063788B" w:rsidP="0063788B">
            <w:pPr>
              <w:jc w:val="both"/>
            </w:pPr>
            <w:r w:rsidRPr="007A7C00">
              <w:rPr>
                <w:noProof/>
                <w:lang w:eastAsia="fr-BE"/>
              </w:rPr>
              <w:drawing>
                <wp:inline distT="0" distB="0" distL="0" distR="0" wp14:anchorId="767ED84C">
                  <wp:extent cx="5634233" cy="3409950"/>
                  <wp:effectExtent l="0" t="0" r="508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9826" cy="3443596"/>
                          </a:xfrm>
                          <a:prstGeom prst="rect">
                            <a:avLst/>
                          </a:prstGeom>
                          <a:noFill/>
                        </pic:spPr>
                      </pic:pic>
                    </a:graphicData>
                  </a:graphic>
                </wp:inline>
              </w:drawing>
            </w: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p w:rsidR="0063788B" w:rsidRPr="007A7C00" w:rsidRDefault="0063788B" w:rsidP="0063788B">
            <w:pPr>
              <w:jc w:val="both"/>
            </w:pPr>
          </w:p>
        </w:tc>
      </w:tr>
    </w:tbl>
    <w:p w:rsidR="00960FCB" w:rsidRPr="007A7C00" w:rsidRDefault="00960FCB" w:rsidP="00433D9D"/>
    <w:p w:rsidR="00C84CFC" w:rsidRPr="007A7C00" w:rsidRDefault="00C84CFC" w:rsidP="00433D9D">
      <w:pPr>
        <w:sectPr w:rsidR="00C84CFC" w:rsidRPr="007A7C00" w:rsidSect="007A5B00">
          <w:headerReference w:type="default" r:id="rId16"/>
          <w:pgSz w:w="11906" w:h="16838"/>
          <w:pgMar w:top="1418" w:right="1418" w:bottom="1418" w:left="1418" w:header="709" w:footer="737" w:gutter="0"/>
          <w:cols w:space="708"/>
          <w:docGrid w:linePitch="360"/>
        </w:sectPr>
      </w:pPr>
    </w:p>
    <w:tbl>
      <w:tblPr>
        <w:tblW w:w="8982" w:type="dxa"/>
        <w:tblInd w:w="80" w:type="dxa"/>
        <w:tblLayout w:type="fixed"/>
        <w:tblCellMar>
          <w:left w:w="70" w:type="dxa"/>
          <w:right w:w="70" w:type="dxa"/>
        </w:tblCellMar>
        <w:tblLook w:val="04A0" w:firstRow="1" w:lastRow="0" w:firstColumn="1" w:lastColumn="0" w:noHBand="0" w:noVBand="1"/>
      </w:tblPr>
      <w:tblGrid>
        <w:gridCol w:w="6998"/>
        <w:gridCol w:w="425"/>
        <w:gridCol w:w="1559"/>
      </w:tblGrid>
      <w:tr w:rsidR="001D1398" w:rsidRPr="001D1398" w:rsidTr="001D1398">
        <w:trPr>
          <w:trHeight w:val="147"/>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5E10AE" w:rsidRDefault="005E10AE" w:rsidP="001D1398">
            <w:pPr>
              <w:spacing w:after="0" w:line="240" w:lineRule="auto"/>
              <w:rPr>
                <w:rFonts w:eastAsia="Times New Roman" w:cs="Arial"/>
                <w:b/>
                <w:bCs/>
                <w:sz w:val="28"/>
                <w:szCs w:val="20"/>
                <w:lang w:eastAsia="fr-BE"/>
              </w:rPr>
            </w:pPr>
            <w:bookmarkStart w:id="0" w:name="RANGE!A1:B38"/>
            <w:r w:rsidRPr="005E10AE">
              <w:rPr>
                <w:rFonts w:eastAsia="Times New Roman" w:cs="Arial"/>
                <w:b/>
                <w:bCs/>
                <w:color w:val="000000"/>
                <w:sz w:val="28"/>
                <w:szCs w:val="32"/>
                <w:lang w:eastAsia="fr-BE"/>
              </w:rPr>
              <w:lastRenderedPageBreak/>
              <w:t>Prestations administratives</w:t>
            </w:r>
            <w:bookmarkEnd w:id="0"/>
          </w:p>
        </w:tc>
      </w:tr>
      <w:tr w:rsidR="000C0F10" w:rsidRPr="006F013B" w:rsidTr="006F013B">
        <w:trPr>
          <w:trHeight w:val="340"/>
        </w:trPr>
        <w:tc>
          <w:tcPr>
            <w:tcW w:w="6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Déplacements inutiles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0C0F10" w:rsidRPr="006F013B" w:rsidRDefault="00230EF3" w:rsidP="00230EF3">
            <w:pPr>
              <w:spacing w:after="0" w:line="240" w:lineRule="auto"/>
              <w:jc w:val="right"/>
              <w:rPr>
                <w:sz w:val="20"/>
              </w:rPr>
            </w:pPr>
            <w:r>
              <w:rPr>
                <w:sz w:val="20"/>
              </w:rPr>
              <w:t>80</w:t>
            </w:r>
            <w:r w:rsidR="000C0F10" w:rsidRPr="006F013B">
              <w:rPr>
                <w:sz w:val="20"/>
              </w:rPr>
              <w:t>,</w:t>
            </w:r>
            <w:r>
              <w:rPr>
                <w:sz w:val="20"/>
              </w:rPr>
              <w:t>63</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Mise en demeure simple</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230EF3">
            <w:pPr>
              <w:spacing w:after="0" w:line="240" w:lineRule="auto"/>
              <w:jc w:val="right"/>
              <w:rPr>
                <w:sz w:val="20"/>
              </w:rPr>
            </w:pPr>
            <w:r w:rsidRPr="006F013B">
              <w:rPr>
                <w:sz w:val="20"/>
              </w:rPr>
              <w:t>6,</w:t>
            </w:r>
            <w:r w:rsidR="00230EF3">
              <w:rPr>
                <w:sz w:val="20"/>
              </w:rPr>
              <w:t>89</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Mise en demeure par recommandé</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230EF3" w:rsidP="00230EF3">
            <w:pPr>
              <w:spacing w:after="0" w:line="240" w:lineRule="auto"/>
              <w:jc w:val="right"/>
              <w:rPr>
                <w:sz w:val="20"/>
              </w:rPr>
            </w:pPr>
            <w:r>
              <w:rPr>
                <w:sz w:val="20"/>
              </w:rPr>
              <w:t>14</w:t>
            </w:r>
            <w:r w:rsidR="000C0F10" w:rsidRPr="006F013B">
              <w:rPr>
                <w:sz w:val="20"/>
              </w:rPr>
              <w:t>,</w:t>
            </w:r>
            <w:r>
              <w:rPr>
                <w:sz w:val="20"/>
              </w:rPr>
              <w:t>19</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Frais de rappel</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230EF3">
            <w:pPr>
              <w:spacing w:after="0" w:line="240" w:lineRule="auto"/>
              <w:jc w:val="right"/>
              <w:rPr>
                <w:sz w:val="20"/>
              </w:rPr>
            </w:pPr>
            <w:r w:rsidRPr="006F013B">
              <w:rPr>
                <w:sz w:val="20"/>
              </w:rPr>
              <w:t>6,</w:t>
            </w:r>
            <w:r w:rsidR="00230EF3">
              <w:rPr>
                <w:sz w:val="20"/>
              </w:rPr>
              <w:t>89</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Attestation administrative de données de compteur</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230EF3">
            <w:pPr>
              <w:spacing w:after="0" w:line="240" w:lineRule="auto"/>
              <w:jc w:val="right"/>
              <w:rPr>
                <w:sz w:val="20"/>
              </w:rPr>
            </w:pPr>
            <w:r w:rsidRPr="006F013B">
              <w:rPr>
                <w:sz w:val="20"/>
              </w:rPr>
              <w:t>2</w:t>
            </w:r>
            <w:r w:rsidR="00606EB8">
              <w:rPr>
                <w:sz w:val="20"/>
              </w:rPr>
              <w:t>1</w:t>
            </w:r>
            <w:r w:rsidRPr="006F013B">
              <w:rPr>
                <w:sz w:val="20"/>
              </w:rPr>
              <w:t>,</w:t>
            </w:r>
            <w:r w:rsidR="00230EF3">
              <w:rPr>
                <w:sz w:val="20"/>
              </w:rPr>
              <w:t>37</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Indemnités Fraudes hors remise en état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230EF3">
            <w:pPr>
              <w:spacing w:after="0" w:line="240" w:lineRule="auto"/>
              <w:jc w:val="right"/>
              <w:rPr>
                <w:sz w:val="20"/>
              </w:rPr>
            </w:pPr>
            <w:r w:rsidRPr="006F013B">
              <w:rPr>
                <w:sz w:val="20"/>
              </w:rPr>
              <w:t>4</w:t>
            </w:r>
            <w:r w:rsidR="00606EB8">
              <w:rPr>
                <w:sz w:val="20"/>
              </w:rPr>
              <w:t>2</w:t>
            </w:r>
            <w:r w:rsidR="00230EF3">
              <w:rPr>
                <w:sz w:val="20"/>
              </w:rPr>
              <w:t>7</w:t>
            </w:r>
            <w:r w:rsidRPr="006F013B">
              <w:rPr>
                <w:sz w:val="20"/>
              </w:rPr>
              <w:t>,</w:t>
            </w:r>
            <w:r w:rsidR="00230EF3">
              <w:rPr>
                <w:sz w:val="20"/>
              </w:rPr>
              <w:t>72</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Renvoi historique données comptage (</w:t>
            </w:r>
            <w:proofErr w:type="spellStart"/>
            <w:r w:rsidRPr="006F013B">
              <w:rPr>
                <w:sz w:val="20"/>
              </w:rPr>
              <w:t>àpd</w:t>
            </w:r>
            <w:proofErr w:type="spellEnd"/>
            <w:r w:rsidRPr="006F013B">
              <w:rPr>
                <w:sz w:val="20"/>
              </w:rPr>
              <w:t xml:space="preserve"> 2 fois) de l'EAN</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230EF3">
            <w:pPr>
              <w:spacing w:after="0" w:line="240" w:lineRule="auto"/>
              <w:jc w:val="right"/>
              <w:rPr>
                <w:sz w:val="20"/>
              </w:rPr>
            </w:pPr>
            <w:r w:rsidRPr="006F013B">
              <w:rPr>
                <w:sz w:val="20"/>
              </w:rPr>
              <w:t>3</w:t>
            </w:r>
            <w:r w:rsidR="00606EB8">
              <w:rPr>
                <w:sz w:val="20"/>
              </w:rPr>
              <w:t>5</w:t>
            </w:r>
            <w:r w:rsidRPr="006F013B">
              <w:rPr>
                <w:sz w:val="20"/>
              </w:rPr>
              <w:t>,</w:t>
            </w:r>
            <w:r w:rsidR="00230EF3">
              <w:rPr>
                <w:sz w:val="20"/>
              </w:rPr>
              <w:t>61</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Renvoi historique données comptage (</w:t>
            </w:r>
            <w:proofErr w:type="spellStart"/>
            <w:r w:rsidRPr="006F013B">
              <w:rPr>
                <w:sz w:val="20"/>
              </w:rPr>
              <w:t>àpd</w:t>
            </w:r>
            <w:proofErr w:type="spellEnd"/>
            <w:r w:rsidRPr="006F013B">
              <w:rPr>
                <w:sz w:val="20"/>
              </w:rPr>
              <w:t xml:space="preserve"> 2 fois) de l'EAN (à partir 10 </w:t>
            </w:r>
            <w:proofErr w:type="spellStart"/>
            <w:r w:rsidRPr="006F013B">
              <w:rPr>
                <w:sz w:val="20"/>
              </w:rPr>
              <w:t>EANs</w:t>
            </w:r>
            <w:proofErr w:type="spellEnd"/>
            <w:r w:rsidRPr="006F013B">
              <w:rPr>
                <w:sz w:val="20"/>
              </w:rPr>
              <w: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230EF3">
            <w:pPr>
              <w:spacing w:after="0" w:line="240" w:lineRule="auto"/>
              <w:jc w:val="right"/>
              <w:rPr>
                <w:sz w:val="20"/>
              </w:rPr>
            </w:pPr>
            <w:r w:rsidRPr="006F013B">
              <w:rPr>
                <w:sz w:val="20"/>
              </w:rPr>
              <w:t>2</w:t>
            </w:r>
            <w:r w:rsidR="00606EB8">
              <w:rPr>
                <w:sz w:val="20"/>
              </w:rPr>
              <w:t>6</w:t>
            </w:r>
            <w:r w:rsidR="00230EF3">
              <w:rPr>
                <w:sz w:val="20"/>
              </w:rPr>
              <w:t>5</w:t>
            </w:r>
            <w:r w:rsidRPr="006F013B">
              <w:rPr>
                <w:sz w:val="20"/>
              </w:rPr>
              <w:t>,</w:t>
            </w:r>
            <w:r w:rsidR="00230EF3">
              <w:rPr>
                <w:sz w:val="20"/>
              </w:rPr>
              <w:t>93</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 xml:space="preserve">Renvoi </w:t>
            </w:r>
            <w:proofErr w:type="spellStart"/>
            <w:r w:rsidRPr="006F013B">
              <w:rPr>
                <w:sz w:val="20"/>
              </w:rPr>
              <w:t>snapshot</w:t>
            </w:r>
            <w:proofErr w:type="spellEnd"/>
            <w:r w:rsidRPr="006F013B">
              <w:rPr>
                <w:sz w:val="20"/>
              </w:rPr>
              <w:t xml:space="preserve"> de l'EAN</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230EF3" w:rsidP="00230EF3">
            <w:pPr>
              <w:spacing w:after="0" w:line="240" w:lineRule="auto"/>
              <w:jc w:val="right"/>
              <w:rPr>
                <w:sz w:val="20"/>
              </w:rPr>
            </w:pPr>
            <w:r>
              <w:rPr>
                <w:sz w:val="20"/>
              </w:rPr>
              <w:t>17</w:t>
            </w:r>
            <w:r w:rsidR="000C0F10" w:rsidRPr="006F013B">
              <w:rPr>
                <w:sz w:val="20"/>
              </w:rPr>
              <w:t>,</w:t>
            </w:r>
            <w:r>
              <w:rPr>
                <w:sz w:val="20"/>
              </w:rPr>
              <w:t>10</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 xml:space="preserve">Renvoi </w:t>
            </w:r>
            <w:proofErr w:type="spellStart"/>
            <w:r w:rsidRPr="006F013B">
              <w:rPr>
                <w:sz w:val="20"/>
              </w:rPr>
              <w:t>snapshot</w:t>
            </w:r>
            <w:proofErr w:type="spellEnd"/>
            <w:r w:rsidRPr="006F013B">
              <w:rPr>
                <w:sz w:val="20"/>
              </w:rPr>
              <w:t xml:space="preserve"> de l'EAN (à partir 10 </w:t>
            </w:r>
            <w:proofErr w:type="spellStart"/>
            <w:r w:rsidRPr="006F013B">
              <w:rPr>
                <w:sz w:val="20"/>
              </w:rPr>
              <w:t>EANs</w:t>
            </w:r>
            <w:proofErr w:type="spellEnd"/>
            <w:r w:rsidRPr="006F013B">
              <w:rPr>
                <w:sz w:val="20"/>
              </w:rPr>
              <w: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606EB8" w:rsidP="00230EF3">
            <w:pPr>
              <w:spacing w:after="0" w:line="240" w:lineRule="auto"/>
              <w:jc w:val="right"/>
              <w:rPr>
                <w:sz w:val="20"/>
              </w:rPr>
            </w:pPr>
            <w:r>
              <w:rPr>
                <w:sz w:val="20"/>
              </w:rPr>
              <w:t>13</w:t>
            </w:r>
            <w:r w:rsidR="00230EF3">
              <w:rPr>
                <w:sz w:val="20"/>
              </w:rPr>
              <w:t>2</w:t>
            </w:r>
            <w:r w:rsidR="000C0F10" w:rsidRPr="006F013B">
              <w:rPr>
                <w:sz w:val="20"/>
              </w:rPr>
              <w:t>,</w:t>
            </w:r>
            <w:r>
              <w:rPr>
                <w:sz w:val="20"/>
              </w:rPr>
              <w:t>9</w:t>
            </w:r>
            <w:r w:rsidR="00230EF3">
              <w:rPr>
                <w:sz w:val="20"/>
              </w:rPr>
              <w:t>6</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Repose de scellé après bris de scellé non autorisé</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230EF3">
            <w:pPr>
              <w:spacing w:after="0" w:line="240" w:lineRule="auto"/>
              <w:jc w:val="right"/>
              <w:rPr>
                <w:sz w:val="20"/>
              </w:rPr>
            </w:pPr>
            <w:r w:rsidRPr="006F013B">
              <w:rPr>
                <w:sz w:val="20"/>
              </w:rPr>
              <w:t>7</w:t>
            </w:r>
            <w:r w:rsidR="00230EF3">
              <w:rPr>
                <w:sz w:val="20"/>
              </w:rPr>
              <w:t>5</w:t>
            </w:r>
            <w:r w:rsidRPr="006F013B">
              <w:rPr>
                <w:sz w:val="20"/>
              </w:rPr>
              <w:t>,</w:t>
            </w:r>
            <w:r w:rsidR="00230EF3">
              <w:rPr>
                <w:sz w:val="20"/>
              </w:rPr>
              <w:t>99</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Contrôle visuel de l'enregistrement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230EF3">
            <w:pPr>
              <w:spacing w:after="0" w:line="240" w:lineRule="auto"/>
              <w:jc w:val="right"/>
              <w:rPr>
                <w:sz w:val="20"/>
              </w:rPr>
            </w:pPr>
            <w:r w:rsidRPr="006F013B">
              <w:rPr>
                <w:sz w:val="20"/>
              </w:rPr>
              <w:t>8</w:t>
            </w:r>
            <w:r w:rsidR="00230EF3">
              <w:rPr>
                <w:sz w:val="20"/>
              </w:rPr>
              <w:t>9</w:t>
            </w:r>
            <w:r w:rsidRPr="006F013B">
              <w:rPr>
                <w:sz w:val="20"/>
              </w:rPr>
              <w:t>,</w:t>
            </w:r>
            <w:r w:rsidR="00230EF3">
              <w:rPr>
                <w:sz w:val="20"/>
              </w:rPr>
              <w:t>84</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Vérification de l'enregistrement avec compteur de contrôle</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230EF3">
            <w:pPr>
              <w:spacing w:after="0" w:line="240" w:lineRule="auto"/>
              <w:jc w:val="right"/>
              <w:rPr>
                <w:sz w:val="20"/>
              </w:rPr>
            </w:pPr>
            <w:r w:rsidRPr="006F013B">
              <w:rPr>
                <w:sz w:val="20"/>
              </w:rPr>
              <w:t>12</w:t>
            </w:r>
            <w:r w:rsidR="00230EF3">
              <w:rPr>
                <w:sz w:val="20"/>
              </w:rPr>
              <w:t>5</w:t>
            </w:r>
            <w:r w:rsidRPr="006F013B">
              <w:rPr>
                <w:sz w:val="20"/>
              </w:rPr>
              <w:t>,</w:t>
            </w:r>
            <w:r w:rsidR="00230EF3">
              <w:rPr>
                <w:sz w:val="20"/>
              </w:rPr>
              <w:t>46</w:t>
            </w:r>
          </w:p>
        </w:tc>
      </w:tr>
      <w:tr w:rsidR="000C0F10"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Etalonnage d'un compteur en laboratoire + DEVIS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6F013B">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230EF3">
            <w:pPr>
              <w:spacing w:after="0" w:line="240" w:lineRule="auto"/>
              <w:jc w:val="right"/>
              <w:rPr>
                <w:sz w:val="20"/>
              </w:rPr>
            </w:pPr>
            <w:r w:rsidRPr="006F013B">
              <w:rPr>
                <w:sz w:val="20"/>
              </w:rPr>
              <w:t>8</w:t>
            </w:r>
            <w:r w:rsidR="00230EF3">
              <w:rPr>
                <w:sz w:val="20"/>
              </w:rPr>
              <w:t>9</w:t>
            </w:r>
            <w:r w:rsidRPr="006F013B">
              <w:rPr>
                <w:sz w:val="20"/>
              </w:rPr>
              <w:t>,</w:t>
            </w:r>
            <w:r w:rsidR="00230EF3">
              <w:rPr>
                <w:sz w:val="20"/>
              </w:rPr>
              <w:t>84</w:t>
            </w:r>
          </w:p>
        </w:tc>
      </w:tr>
      <w:tr w:rsidR="006F013B" w:rsidRPr="006F013B" w:rsidTr="006F013B">
        <w:trPr>
          <w:trHeight w:val="340"/>
        </w:trPr>
        <w:tc>
          <w:tcPr>
            <w:tcW w:w="6998" w:type="dxa"/>
            <w:tcBorders>
              <w:top w:val="nil"/>
              <w:left w:val="single" w:sz="4" w:space="0" w:color="auto"/>
              <w:bottom w:val="single" w:sz="4" w:space="0" w:color="auto"/>
              <w:right w:val="single" w:sz="4" w:space="0" w:color="auto"/>
            </w:tcBorders>
            <w:shd w:val="clear" w:color="auto" w:fill="auto"/>
            <w:vAlign w:val="center"/>
          </w:tcPr>
          <w:p w:rsidR="006F013B" w:rsidRPr="006F013B" w:rsidRDefault="006F013B" w:rsidP="006F013B">
            <w:pPr>
              <w:spacing w:after="0" w:line="240" w:lineRule="auto"/>
              <w:rPr>
                <w:sz w:val="20"/>
              </w:rPr>
            </w:pPr>
            <w:r w:rsidRPr="006F013B">
              <w:rPr>
                <w:sz w:val="20"/>
              </w:rPr>
              <w:t>Dégâts aux installations de RESA</w:t>
            </w:r>
          </w:p>
        </w:tc>
        <w:tc>
          <w:tcPr>
            <w:tcW w:w="425" w:type="dxa"/>
            <w:tcBorders>
              <w:top w:val="single" w:sz="4" w:space="0" w:color="auto"/>
              <w:left w:val="nil"/>
              <w:bottom w:val="single" w:sz="4" w:space="0" w:color="auto"/>
              <w:right w:val="nil"/>
            </w:tcBorders>
            <w:shd w:val="clear" w:color="auto" w:fill="auto"/>
            <w:noWrap/>
            <w:vAlign w:val="center"/>
          </w:tcPr>
          <w:p w:rsidR="006F013B" w:rsidRPr="006F013B" w:rsidRDefault="0045694C" w:rsidP="006F013B">
            <w:pPr>
              <w:spacing w:after="0" w:line="240" w:lineRule="auto"/>
              <w:rPr>
                <w:sz w:val="20"/>
              </w:rPr>
            </w:pPr>
            <w:r>
              <w:rPr>
                <w:sz w:val="20"/>
              </w:rPr>
              <w:t>€</w:t>
            </w:r>
          </w:p>
        </w:tc>
        <w:tc>
          <w:tcPr>
            <w:tcW w:w="1559" w:type="dxa"/>
            <w:tcBorders>
              <w:top w:val="nil"/>
              <w:left w:val="nil"/>
              <w:bottom w:val="single" w:sz="4" w:space="0" w:color="auto"/>
              <w:right w:val="single" w:sz="4" w:space="0" w:color="auto"/>
            </w:tcBorders>
            <w:shd w:val="clear" w:color="auto" w:fill="auto"/>
            <w:vAlign w:val="center"/>
          </w:tcPr>
          <w:p w:rsidR="006F013B" w:rsidRPr="006F013B" w:rsidRDefault="00EC627D" w:rsidP="006F013B">
            <w:pPr>
              <w:spacing w:after="0" w:line="240" w:lineRule="auto"/>
              <w:jc w:val="right"/>
              <w:rPr>
                <w:sz w:val="20"/>
              </w:rPr>
            </w:pPr>
            <w:r>
              <w:rPr>
                <w:sz w:val="20"/>
              </w:rPr>
              <w:t>DEVIS</w:t>
            </w:r>
          </w:p>
        </w:tc>
      </w:tr>
      <w:tr w:rsidR="001D1398" w:rsidRPr="001D1398" w:rsidTr="001D1398">
        <w:trPr>
          <w:trHeight w:val="312"/>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5E10AE" w:rsidRDefault="005E10AE" w:rsidP="001D1398">
            <w:pPr>
              <w:spacing w:after="0" w:line="240" w:lineRule="auto"/>
              <w:rPr>
                <w:rFonts w:eastAsia="Times New Roman" w:cs="Arial"/>
                <w:b/>
                <w:sz w:val="28"/>
                <w:szCs w:val="20"/>
                <w:lang w:eastAsia="fr-BE"/>
              </w:rPr>
            </w:pPr>
            <w:r w:rsidRPr="005E10AE">
              <w:rPr>
                <w:rFonts w:eastAsia="Times New Roman" w:cs="Arial"/>
                <w:b/>
                <w:bCs/>
                <w:color w:val="000000"/>
                <w:sz w:val="28"/>
                <w:szCs w:val="32"/>
                <w:lang w:eastAsia="fr-BE"/>
              </w:rPr>
              <w:t>Coupure - rétablissement</w:t>
            </w:r>
            <w:r w:rsidR="001D1398" w:rsidRPr="005E10AE">
              <w:rPr>
                <w:rFonts w:eastAsia="Times New Roman" w:cs="Arial"/>
                <w:b/>
                <w:sz w:val="28"/>
                <w:szCs w:val="20"/>
                <w:lang w:eastAsia="fr-BE"/>
              </w:rPr>
              <w:t> </w:t>
            </w:r>
          </w:p>
        </w:tc>
      </w:tr>
      <w:tr w:rsidR="000C0F10" w:rsidRPr="006F013B" w:rsidTr="00EC627D">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vAlign w:val="center"/>
          </w:tcPr>
          <w:p w:rsidR="000C0F10" w:rsidRPr="006F013B" w:rsidRDefault="000C0F10" w:rsidP="006F013B">
            <w:pPr>
              <w:spacing w:after="0" w:line="240" w:lineRule="auto"/>
              <w:rPr>
                <w:sz w:val="20"/>
              </w:rPr>
            </w:pPr>
            <w:r w:rsidRPr="006F013B">
              <w:rPr>
                <w:sz w:val="20"/>
              </w:rPr>
              <w:t>Coupure + rétablissement pour client résidentiel</w:t>
            </w:r>
          </w:p>
        </w:tc>
        <w:tc>
          <w:tcPr>
            <w:tcW w:w="425" w:type="dxa"/>
            <w:tcBorders>
              <w:top w:val="single" w:sz="4" w:space="0" w:color="auto"/>
              <w:left w:val="nil"/>
              <w:bottom w:val="single" w:sz="4" w:space="0" w:color="auto"/>
              <w:right w:val="nil"/>
            </w:tcBorders>
            <w:shd w:val="clear" w:color="auto" w:fill="auto"/>
            <w:noWrap/>
            <w:vAlign w:val="center"/>
          </w:tcPr>
          <w:p w:rsidR="000C0F10" w:rsidRPr="006F013B" w:rsidRDefault="000C0F10" w:rsidP="000C0F10">
            <w:pPr>
              <w:spacing w:after="0" w:line="240" w:lineRule="auto"/>
              <w:rPr>
                <w:sz w:val="20"/>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0C0F10" w:rsidRPr="006F013B" w:rsidRDefault="000C0F10" w:rsidP="006F013B">
            <w:pPr>
              <w:spacing w:after="0" w:line="240" w:lineRule="auto"/>
              <w:rPr>
                <w:sz w:val="20"/>
              </w:rPr>
            </w:pPr>
          </w:p>
        </w:tc>
      </w:tr>
      <w:tr w:rsidR="000C0F10" w:rsidRPr="006F013B" w:rsidTr="00EC627D">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ind w:left="554"/>
              <w:rPr>
                <w:sz w:val="20"/>
              </w:rPr>
            </w:pPr>
            <w:r w:rsidRPr="006F013B">
              <w:rPr>
                <w:sz w:val="20"/>
              </w:rPr>
              <w:t>Au compteur</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0C0F10">
            <w:pPr>
              <w:spacing w:after="0" w:line="240" w:lineRule="auto"/>
              <w:rPr>
                <w:sz w:val="20"/>
              </w:rPr>
            </w:pPr>
            <w:r w:rsidRPr="006F013B">
              <w:rPr>
                <w:sz w:val="20"/>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0C0F10" w:rsidRPr="006F013B" w:rsidRDefault="00230EF3" w:rsidP="00230EF3">
            <w:pPr>
              <w:spacing w:after="0" w:line="240" w:lineRule="auto"/>
              <w:jc w:val="right"/>
              <w:rPr>
                <w:sz w:val="20"/>
              </w:rPr>
            </w:pPr>
            <w:r>
              <w:rPr>
                <w:sz w:val="20"/>
              </w:rPr>
              <w:t>1</w:t>
            </w:r>
            <w:r w:rsidR="00FF754D">
              <w:rPr>
                <w:sz w:val="20"/>
              </w:rPr>
              <w:t>7</w:t>
            </w:r>
            <w:r>
              <w:rPr>
                <w:sz w:val="20"/>
              </w:rPr>
              <w:t>0</w:t>
            </w:r>
            <w:r w:rsidR="000C0F10" w:rsidRPr="006F013B">
              <w:rPr>
                <w:sz w:val="20"/>
              </w:rPr>
              <w:t>,</w:t>
            </w:r>
            <w:r>
              <w:rPr>
                <w:sz w:val="20"/>
              </w:rPr>
              <w:t>31</w:t>
            </w:r>
          </w:p>
        </w:tc>
      </w:tr>
      <w:tr w:rsidR="000C0F10" w:rsidRPr="006F013B" w:rsidTr="00EC627D">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ind w:left="554"/>
              <w:rPr>
                <w:sz w:val="20"/>
              </w:rPr>
            </w:pPr>
            <w:r w:rsidRPr="006F013B">
              <w:rPr>
                <w:sz w:val="20"/>
              </w:rPr>
              <w:t xml:space="preserve">Au branchement (sans </w:t>
            </w:r>
            <w:r w:rsidR="00EC627D" w:rsidRPr="006F013B">
              <w:rPr>
                <w:sz w:val="20"/>
              </w:rPr>
              <w:t>accès</w:t>
            </w:r>
            <w:r w:rsidRPr="006F013B">
              <w:rPr>
                <w:sz w:val="20"/>
              </w:rPr>
              <w:t xml:space="preserve"> aux installations)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45694C" w:rsidP="000C0F10">
            <w:pPr>
              <w:spacing w:after="0" w:line="240" w:lineRule="auto"/>
              <w:rPr>
                <w:sz w:val="20"/>
              </w:rPr>
            </w:pPr>
            <w:r>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230EF3">
            <w:pPr>
              <w:spacing w:after="0" w:line="240" w:lineRule="auto"/>
              <w:jc w:val="right"/>
              <w:rPr>
                <w:sz w:val="20"/>
              </w:rPr>
            </w:pPr>
            <w:r w:rsidRPr="006F013B">
              <w:rPr>
                <w:sz w:val="20"/>
              </w:rPr>
              <w:t>2</w:t>
            </w:r>
            <w:r w:rsidR="00504A1A">
              <w:rPr>
                <w:sz w:val="20"/>
              </w:rPr>
              <w:t>.</w:t>
            </w:r>
            <w:r w:rsidR="00230EF3">
              <w:rPr>
                <w:sz w:val="20"/>
              </w:rPr>
              <w:t>262</w:t>
            </w:r>
            <w:r w:rsidRPr="006F013B">
              <w:rPr>
                <w:sz w:val="20"/>
              </w:rPr>
              <w:t>,</w:t>
            </w:r>
            <w:r w:rsidR="00230EF3">
              <w:rPr>
                <w:sz w:val="20"/>
              </w:rPr>
              <w:t>74</w:t>
            </w:r>
          </w:p>
        </w:tc>
      </w:tr>
      <w:tr w:rsidR="000C0F10" w:rsidRPr="006F013B" w:rsidTr="00EC627D">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rPr>
                <w:sz w:val="20"/>
              </w:rPr>
            </w:pPr>
            <w:r w:rsidRPr="006F013B">
              <w:rPr>
                <w:sz w:val="20"/>
              </w:rPr>
              <w:t>Scellement du compteur à la demande du client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0C0F10">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230EF3">
            <w:pPr>
              <w:spacing w:after="0" w:line="240" w:lineRule="auto"/>
              <w:jc w:val="right"/>
              <w:rPr>
                <w:sz w:val="20"/>
              </w:rPr>
            </w:pPr>
            <w:r w:rsidRPr="006F013B">
              <w:rPr>
                <w:sz w:val="20"/>
              </w:rPr>
              <w:t>8</w:t>
            </w:r>
            <w:r w:rsidR="00230EF3">
              <w:rPr>
                <w:sz w:val="20"/>
              </w:rPr>
              <w:t>7</w:t>
            </w:r>
            <w:r w:rsidRPr="006F013B">
              <w:rPr>
                <w:sz w:val="20"/>
              </w:rPr>
              <w:t>,</w:t>
            </w:r>
            <w:r w:rsidR="00230EF3">
              <w:rPr>
                <w:sz w:val="20"/>
              </w:rPr>
              <w:t>66</w:t>
            </w:r>
          </w:p>
        </w:tc>
      </w:tr>
      <w:tr w:rsidR="00657620" w:rsidRPr="006F013B" w:rsidTr="00EC627D">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657620" w:rsidRPr="006F013B" w:rsidRDefault="00657620" w:rsidP="00657620">
            <w:pPr>
              <w:spacing w:after="0" w:line="240" w:lineRule="auto"/>
              <w:rPr>
                <w:sz w:val="20"/>
              </w:rPr>
            </w:pPr>
            <w:r w:rsidRPr="006F013B">
              <w:rPr>
                <w:sz w:val="20"/>
              </w:rPr>
              <w:t>Coupure + rétablissem</w:t>
            </w:r>
            <w:r w:rsidR="00326E09">
              <w:rPr>
                <w:sz w:val="20"/>
              </w:rPr>
              <w:t xml:space="preserve">ent au compteur pour client non </w:t>
            </w:r>
            <w:r w:rsidRPr="006F013B">
              <w:rPr>
                <w:sz w:val="20"/>
              </w:rPr>
              <w:t xml:space="preserve">résidentiel </w:t>
            </w:r>
          </w:p>
        </w:tc>
        <w:tc>
          <w:tcPr>
            <w:tcW w:w="425" w:type="dxa"/>
            <w:tcBorders>
              <w:top w:val="single" w:sz="4" w:space="0" w:color="auto"/>
              <w:left w:val="nil"/>
              <w:bottom w:val="single" w:sz="4" w:space="0" w:color="auto"/>
              <w:right w:val="nil"/>
            </w:tcBorders>
            <w:shd w:val="clear" w:color="auto" w:fill="auto"/>
            <w:noWrap/>
            <w:vAlign w:val="center"/>
            <w:hideMark/>
          </w:tcPr>
          <w:p w:rsidR="00657620" w:rsidRPr="006F013B" w:rsidRDefault="00657620" w:rsidP="00657620">
            <w:pPr>
              <w:spacing w:after="0" w:line="240" w:lineRule="auto"/>
              <w:rPr>
                <w:sz w:val="20"/>
              </w:rPr>
            </w:pPr>
          </w:p>
        </w:tc>
        <w:tc>
          <w:tcPr>
            <w:tcW w:w="1559" w:type="dxa"/>
            <w:tcBorders>
              <w:top w:val="nil"/>
              <w:left w:val="nil"/>
              <w:bottom w:val="single" w:sz="4" w:space="0" w:color="auto"/>
              <w:right w:val="single" w:sz="4" w:space="0" w:color="auto"/>
            </w:tcBorders>
            <w:shd w:val="clear" w:color="auto" w:fill="auto"/>
            <w:vAlign w:val="center"/>
          </w:tcPr>
          <w:p w:rsidR="00657620" w:rsidRPr="006F013B" w:rsidRDefault="00657620" w:rsidP="00251D50">
            <w:pPr>
              <w:spacing w:after="0" w:line="240" w:lineRule="auto"/>
              <w:rPr>
                <w:sz w:val="20"/>
              </w:rPr>
            </w:pPr>
          </w:p>
        </w:tc>
      </w:tr>
      <w:tr w:rsidR="000C0F10" w:rsidRPr="006F013B" w:rsidTr="00EC627D">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ind w:left="554"/>
              <w:rPr>
                <w:sz w:val="20"/>
              </w:rPr>
            </w:pPr>
            <w:r w:rsidRPr="006F013B">
              <w:rPr>
                <w:sz w:val="20"/>
              </w:rPr>
              <w:t>Au compteur</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45694C" w:rsidP="000C0F10">
            <w:pPr>
              <w:spacing w:after="0" w:line="240" w:lineRule="auto"/>
              <w:rPr>
                <w:sz w:val="20"/>
              </w:rPr>
            </w:pPr>
            <w:r>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230EF3">
            <w:pPr>
              <w:spacing w:after="0" w:line="240" w:lineRule="auto"/>
              <w:jc w:val="right"/>
              <w:rPr>
                <w:sz w:val="20"/>
              </w:rPr>
            </w:pPr>
            <w:r w:rsidRPr="006F013B">
              <w:rPr>
                <w:sz w:val="20"/>
              </w:rPr>
              <w:t>1</w:t>
            </w:r>
            <w:r w:rsidR="00230EF3">
              <w:rPr>
                <w:sz w:val="20"/>
              </w:rPr>
              <w:t>70</w:t>
            </w:r>
            <w:r w:rsidRPr="006F013B">
              <w:rPr>
                <w:sz w:val="20"/>
              </w:rPr>
              <w:t>,</w:t>
            </w:r>
            <w:r w:rsidR="00230EF3">
              <w:rPr>
                <w:sz w:val="20"/>
              </w:rPr>
              <w:t>31</w:t>
            </w:r>
          </w:p>
        </w:tc>
      </w:tr>
      <w:tr w:rsidR="000C0F10" w:rsidRPr="006F013B" w:rsidTr="00EC627D">
        <w:trPr>
          <w:trHeight w:val="312"/>
        </w:trPr>
        <w:tc>
          <w:tcPr>
            <w:tcW w:w="6998" w:type="dxa"/>
            <w:tcBorders>
              <w:top w:val="nil"/>
              <w:left w:val="single" w:sz="4" w:space="0" w:color="auto"/>
              <w:bottom w:val="single" w:sz="4" w:space="0" w:color="auto"/>
              <w:right w:val="single" w:sz="4" w:space="0" w:color="auto"/>
            </w:tcBorders>
            <w:shd w:val="clear" w:color="auto" w:fill="auto"/>
            <w:vAlign w:val="center"/>
            <w:hideMark/>
          </w:tcPr>
          <w:p w:rsidR="000C0F10" w:rsidRPr="006F013B" w:rsidRDefault="000C0F10" w:rsidP="006F013B">
            <w:pPr>
              <w:spacing w:after="0" w:line="240" w:lineRule="auto"/>
              <w:ind w:left="554"/>
              <w:rPr>
                <w:sz w:val="20"/>
              </w:rPr>
            </w:pPr>
            <w:r w:rsidRPr="006F013B">
              <w:rPr>
                <w:sz w:val="20"/>
              </w:rPr>
              <w:t xml:space="preserve">Au branchement (sans </w:t>
            </w:r>
            <w:r w:rsidR="00EC627D" w:rsidRPr="006F013B">
              <w:rPr>
                <w:sz w:val="20"/>
              </w:rPr>
              <w:t>accès</w:t>
            </w:r>
            <w:r w:rsidRPr="006F013B">
              <w:rPr>
                <w:sz w:val="20"/>
              </w:rPr>
              <w:t xml:space="preserve"> aux installations)</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F013B" w:rsidRDefault="000C0F10" w:rsidP="000C0F10">
            <w:pPr>
              <w:spacing w:after="0" w:line="240" w:lineRule="auto"/>
              <w:rPr>
                <w:sz w:val="20"/>
              </w:rPr>
            </w:pPr>
            <w:r w:rsidRPr="006F013B">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F013B" w:rsidRDefault="000C0F10" w:rsidP="00230EF3">
            <w:pPr>
              <w:spacing w:after="0" w:line="240" w:lineRule="auto"/>
              <w:jc w:val="right"/>
              <w:rPr>
                <w:sz w:val="20"/>
              </w:rPr>
            </w:pPr>
            <w:r w:rsidRPr="006F013B">
              <w:rPr>
                <w:sz w:val="20"/>
              </w:rPr>
              <w:t>2</w:t>
            </w:r>
            <w:r w:rsidR="00504A1A">
              <w:rPr>
                <w:sz w:val="20"/>
              </w:rPr>
              <w:t>.</w:t>
            </w:r>
            <w:r w:rsidR="00FF754D">
              <w:rPr>
                <w:sz w:val="20"/>
              </w:rPr>
              <w:t>2</w:t>
            </w:r>
            <w:r w:rsidR="00230EF3">
              <w:rPr>
                <w:sz w:val="20"/>
              </w:rPr>
              <w:t>62</w:t>
            </w:r>
            <w:r w:rsidRPr="006F013B">
              <w:rPr>
                <w:sz w:val="20"/>
              </w:rPr>
              <w:t>,</w:t>
            </w:r>
            <w:r w:rsidR="00230EF3">
              <w:rPr>
                <w:sz w:val="20"/>
              </w:rPr>
              <w:t>74</w:t>
            </w:r>
          </w:p>
        </w:tc>
      </w:tr>
      <w:tr w:rsidR="001D1398" w:rsidRPr="001D1398" w:rsidTr="001D1398">
        <w:trPr>
          <w:trHeight w:val="312"/>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rsidR="001D1398" w:rsidRPr="005E10AE" w:rsidRDefault="005E10AE" w:rsidP="005E10AE">
            <w:pPr>
              <w:spacing w:after="0" w:line="240" w:lineRule="auto"/>
              <w:rPr>
                <w:rFonts w:eastAsia="Times New Roman" w:cs="Arial"/>
                <w:b/>
                <w:sz w:val="28"/>
                <w:szCs w:val="20"/>
                <w:lang w:eastAsia="fr-BE"/>
              </w:rPr>
            </w:pPr>
            <w:r w:rsidRPr="005E10AE">
              <w:rPr>
                <w:rFonts w:eastAsia="Times New Roman" w:cs="Arial"/>
                <w:b/>
                <w:bCs/>
                <w:color w:val="000000"/>
                <w:sz w:val="28"/>
                <w:szCs w:val="32"/>
                <w:lang w:eastAsia="fr-BE"/>
              </w:rPr>
              <w:t xml:space="preserve">Compteur </w:t>
            </w:r>
            <w:r>
              <w:rPr>
                <w:rFonts w:eastAsia="Times New Roman" w:cs="Arial"/>
                <w:b/>
                <w:bCs/>
                <w:color w:val="000000"/>
                <w:sz w:val="28"/>
                <w:szCs w:val="32"/>
                <w:lang w:eastAsia="fr-BE"/>
              </w:rPr>
              <w:t>à</w:t>
            </w:r>
            <w:r w:rsidRPr="005E10AE">
              <w:rPr>
                <w:rFonts w:eastAsia="Times New Roman" w:cs="Arial"/>
                <w:b/>
                <w:bCs/>
                <w:color w:val="000000"/>
                <w:sz w:val="28"/>
                <w:szCs w:val="32"/>
                <w:lang w:eastAsia="fr-BE"/>
              </w:rPr>
              <w:t xml:space="preserve"> budget</w:t>
            </w:r>
            <w:r w:rsidR="001D1398" w:rsidRPr="005E10AE">
              <w:rPr>
                <w:rFonts w:eastAsia="Times New Roman" w:cs="Arial"/>
                <w:b/>
                <w:sz w:val="28"/>
                <w:szCs w:val="20"/>
                <w:lang w:eastAsia="fr-BE"/>
              </w:rPr>
              <w:t> </w:t>
            </w:r>
          </w:p>
        </w:tc>
      </w:tr>
      <w:tr w:rsidR="00B371EE" w:rsidRPr="006F013B" w:rsidTr="006F013B">
        <w:trPr>
          <w:trHeight w:val="312"/>
        </w:trPr>
        <w:tc>
          <w:tcPr>
            <w:tcW w:w="69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71EE" w:rsidRPr="006F013B" w:rsidRDefault="005230A4" w:rsidP="0007763C">
            <w:pPr>
              <w:spacing w:after="0" w:line="240" w:lineRule="auto"/>
              <w:rPr>
                <w:sz w:val="20"/>
              </w:rPr>
            </w:pPr>
            <w:r w:rsidRPr="00ED5722">
              <w:rPr>
                <w:rFonts w:eastAsia="Times New Roman" w:cs="Arial"/>
                <w:sz w:val="20"/>
                <w:szCs w:val="20"/>
                <w:lang w:eastAsia="fr-BE"/>
              </w:rPr>
              <w:t>Pose/activation CAB pour un client protégé, en défaut de paiement, soutenu ou disposant déjà d’un CAB</w:t>
            </w:r>
          </w:p>
        </w:tc>
        <w:tc>
          <w:tcPr>
            <w:tcW w:w="425" w:type="dxa"/>
            <w:tcBorders>
              <w:top w:val="single" w:sz="4" w:space="0" w:color="auto"/>
              <w:left w:val="nil"/>
              <w:bottom w:val="single" w:sz="4" w:space="0" w:color="auto"/>
              <w:right w:val="nil"/>
            </w:tcBorders>
            <w:shd w:val="clear" w:color="auto" w:fill="auto"/>
            <w:noWrap/>
            <w:vAlign w:val="center"/>
            <w:hideMark/>
          </w:tcPr>
          <w:p w:rsidR="00B371EE" w:rsidRPr="006F013B" w:rsidRDefault="00B371EE" w:rsidP="00B371EE">
            <w:pPr>
              <w:spacing w:after="0" w:line="240" w:lineRule="auto"/>
              <w:rPr>
                <w:sz w:val="20"/>
              </w:rPr>
            </w:pPr>
            <w:r w:rsidRPr="006F013B">
              <w:rPr>
                <w:sz w:val="20"/>
              </w:rPr>
              <w:t>€</w:t>
            </w:r>
          </w:p>
        </w:tc>
        <w:tc>
          <w:tcPr>
            <w:tcW w:w="1559" w:type="dxa"/>
            <w:tcBorders>
              <w:top w:val="single" w:sz="4" w:space="0" w:color="auto"/>
              <w:left w:val="nil"/>
              <w:bottom w:val="single" w:sz="4" w:space="0" w:color="auto"/>
              <w:right w:val="single" w:sz="4" w:space="0" w:color="auto"/>
            </w:tcBorders>
            <w:shd w:val="clear" w:color="auto" w:fill="auto"/>
            <w:vAlign w:val="center"/>
          </w:tcPr>
          <w:p w:rsidR="00B371EE" w:rsidRPr="006F013B" w:rsidRDefault="00EC627D" w:rsidP="006F013B">
            <w:pPr>
              <w:spacing w:after="0" w:line="240" w:lineRule="auto"/>
              <w:jc w:val="right"/>
              <w:rPr>
                <w:sz w:val="20"/>
              </w:rPr>
            </w:pPr>
            <w:r>
              <w:rPr>
                <w:sz w:val="20"/>
              </w:rPr>
              <w:t>0,00</w:t>
            </w:r>
          </w:p>
        </w:tc>
      </w:tr>
      <w:tr w:rsidR="000C0F10" w:rsidRPr="006F013B" w:rsidTr="006F013B">
        <w:trPr>
          <w:trHeight w:val="312"/>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0C0F10" w:rsidRPr="006E7BBE" w:rsidRDefault="000C0F10" w:rsidP="006654E2">
            <w:pPr>
              <w:spacing w:after="0" w:line="240" w:lineRule="auto"/>
              <w:rPr>
                <w:sz w:val="20"/>
              </w:rPr>
            </w:pPr>
            <w:r w:rsidRPr="006E7BBE">
              <w:rPr>
                <w:sz w:val="20"/>
              </w:rPr>
              <w:t xml:space="preserve">Pose CAB pour un client </w:t>
            </w:r>
            <w:r w:rsidR="006654E2">
              <w:rPr>
                <w:sz w:val="20"/>
              </w:rPr>
              <w:t xml:space="preserve">ni </w:t>
            </w:r>
            <w:r w:rsidRPr="006E7BBE">
              <w:rPr>
                <w:sz w:val="20"/>
              </w:rPr>
              <w:t>protégé</w:t>
            </w:r>
            <w:r w:rsidR="006654E2">
              <w:rPr>
                <w:sz w:val="20"/>
              </w:rPr>
              <w:t>, ni en défaut de paiement</w:t>
            </w:r>
            <w:r w:rsidRPr="006E7BBE">
              <w:rPr>
                <w:sz w:val="20"/>
              </w:rPr>
              <w:t xml:space="preserve"> (autres demandes) + 1ere activation</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E7BBE" w:rsidRDefault="000C0F10" w:rsidP="000C0F10">
            <w:pPr>
              <w:spacing w:after="0" w:line="240" w:lineRule="auto"/>
              <w:rPr>
                <w:sz w:val="20"/>
              </w:rPr>
            </w:pPr>
            <w:r w:rsidRPr="006E7BBE">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E7BBE" w:rsidRDefault="00230EF3" w:rsidP="006F013B">
            <w:pPr>
              <w:spacing w:after="0" w:line="240" w:lineRule="auto"/>
              <w:jc w:val="right"/>
              <w:rPr>
                <w:sz w:val="20"/>
              </w:rPr>
            </w:pPr>
            <w:r w:rsidRPr="006E7BBE">
              <w:rPr>
                <w:sz w:val="20"/>
              </w:rPr>
              <w:t>672,65</w:t>
            </w:r>
          </w:p>
        </w:tc>
      </w:tr>
      <w:tr w:rsidR="000C0F10" w:rsidRPr="006F013B" w:rsidTr="006F013B">
        <w:trPr>
          <w:trHeight w:val="312"/>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0C0F10" w:rsidRPr="006E7BBE" w:rsidRDefault="000C0F10" w:rsidP="006654E2">
            <w:pPr>
              <w:spacing w:after="0" w:line="240" w:lineRule="auto"/>
              <w:rPr>
                <w:sz w:val="20"/>
              </w:rPr>
            </w:pPr>
            <w:r w:rsidRPr="006E7BBE">
              <w:rPr>
                <w:sz w:val="20"/>
              </w:rPr>
              <w:t>Activation CAB pour un client n</w:t>
            </w:r>
            <w:r w:rsidR="006654E2">
              <w:rPr>
                <w:sz w:val="20"/>
              </w:rPr>
              <w:t>i protégé, ni en défaut de paiement</w:t>
            </w:r>
            <w:bookmarkStart w:id="1" w:name="_GoBack"/>
            <w:bookmarkEnd w:id="1"/>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E7BBE" w:rsidRDefault="000C0F10" w:rsidP="000C0F10">
            <w:pPr>
              <w:spacing w:after="0" w:line="240" w:lineRule="auto"/>
              <w:rPr>
                <w:sz w:val="20"/>
              </w:rPr>
            </w:pPr>
            <w:r w:rsidRPr="006E7BBE">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E7BBE" w:rsidRDefault="006E7BBE" w:rsidP="00230EF3">
            <w:pPr>
              <w:spacing w:after="0" w:line="240" w:lineRule="auto"/>
              <w:jc w:val="right"/>
              <w:rPr>
                <w:sz w:val="20"/>
              </w:rPr>
            </w:pPr>
            <w:r w:rsidRPr="006E7BBE">
              <w:rPr>
                <w:sz w:val="20"/>
              </w:rPr>
              <w:t>87,66</w:t>
            </w:r>
          </w:p>
        </w:tc>
      </w:tr>
      <w:tr w:rsidR="000C0F10" w:rsidRPr="006F013B" w:rsidTr="006F013B">
        <w:trPr>
          <w:trHeight w:val="312"/>
        </w:trPr>
        <w:tc>
          <w:tcPr>
            <w:tcW w:w="6998" w:type="dxa"/>
            <w:tcBorders>
              <w:top w:val="nil"/>
              <w:left w:val="single" w:sz="4" w:space="0" w:color="auto"/>
              <w:bottom w:val="single" w:sz="4" w:space="0" w:color="auto"/>
              <w:right w:val="single" w:sz="4" w:space="0" w:color="auto"/>
            </w:tcBorders>
            <w:shd w:val="clear" w:color="auto" w:fill="auto"/>
            <w:noWrap/>
            <w:vAlign w:val="center"/>
            <w:hideMark/>
          </w:tcPr>
          <w:p w:rsidR="000C0F10" w:rsidRPr="006E7BBE" w:rsidRDefault="000C0F10" w:rsidP="000C0F10">
            <w:pPr>
              <w:spacing w:after="0" w:line="240" w:lineRule="auto"/>
              <w:rPr>
                <w:sz w:val="20"/>
              </w:rPr>
            </w:pPr>
            <w:r w:rsidRPr="006E7BBE">
              <w:rPr>
                <w:sz w:val="20"/>
              </w:rPr>
              <w:t>Fournir un duplicata de carte pour compteur à budget</w:t>
            </w:r>
          </w:p>
        </w:tc>
        <w:tc>
          <w:tcPr>
            <w:tcW w:w="425" w:type="dxa"/>
            <w:tcBorders>
              <w:top w:val="single" w:sz="4" w:space="0" w:color="auto"/>
              <w:left w:val="nil"/>
              <w:bottom w:val="single" w:sz="4" w:space="0" w:color="auto"/>
              <w:right w:val="nil"/>
            </w:tcBorders>
            <w:shd w:val="clear" w:color="auto" w:fill="auto"/>
            <w:noWrap/>
            <w:vAlign w:val="center"/>
            <w:hideMark/>
          </w:tcPr>
          <w:p w:rsidR="000C0F10" w:rsidRPr="006E7BBE" w:rsidRDefault="000C0F10" w:rsidP="000C0F10">
            <w:pPr>
              <w:spacing w:after="0" w:line="240" w:lineRule="auto"/>
              <w:rPr>
                <w:sz w:val="20"/>
              </w:rPr>
            </w:pPr>
            <w:r w:rsidRPr="006E7BBE">
              <w:rPr>
                <w:sz w:val="20"/>
              </w:rPr>
              <w:t>€</w:t>
            </w:r>
          </w:p>
        </w:tc>
        <w:tc>
          <w:tcPr>
            <w:tcW w:w="1559" w:type="dxa"/>
            <w:tcBorders>
              <w:top w:val="nil"/>
              <w:left w:val="nil"/>
              <w:bottom w:val="single" w:sz="4" w:space="0" w:color="auto"/>
              <w:right w:val="single" w:sz="4" w:space="0" w:color="auto"/>
            </w:tcBorders>
            <w:shd w:val="clear" w:color="auto" w:fill="auto"/>
            <w:vAlign w:val="center"/>
          </w:tcPr>
          <w:p w:rsidR="000C0F10" w:rsidRPr="006E7BBE" w:rsidRDefault="000C0F10" w:rsidP="00230EF3">
            <w:pPr>
              <w:spacing w:after="0" w:line="240" w:lineRule="auto"/>
              <w:jc w:val="right"/>
              <w:rPr>
                <w:sz w:val="20"/>
              </w:rPr>
            </w:pPr>
            <w:r w:rsidRPr="006E7BBE">
              <w:rPr>
                <w:sz w:val="20"/>
              </w:rPr>
              <w:t>1</w:t>
            </w:r>
            <w:r w:rsidR="00FF754D" w:rsidRPr="006E7BBE">
              <w:rPr>
                <w:sz w:val="20"/>
              </w:rPr>
              <w:t>6</w:t>
            </w:r>
            <w:r w:rsidRPr="006E7BBE">
              <w:rPr>
                <w:sz w:val="20"/>
              </w:rPr>
              <w:t>,</w:t>
            </w:r>
            <w:r w:rsidR="00230EF3" w:rsidRPr="006E7BBE">
              <w:rPr>
                <w:sz w:val="20"/>
              </w:rPr>
              <w:t>48</w:t>
            </w:r>
          </w:p>
        </w:tc>
      </w:tr>
      <w:tr w:rsidR="001D1398" w:rsidRPr="007A7C00" w:rsidTr="00FE17A1">
        <w:trPr>
          <w:trHeight w:val="312"/>
        </w:trPr>
        <w:tc>
          <w:tcPr>
            <w:tcW w:w="898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1D1398" w:rsidRPr="007A7C00" w:rsidRDefault="001D1398" w:rsidP="001D1398">
            <w:pPr>
              <w:spacing w:after="0" w:line="240" w:lineRule="auto"/>
              <w:rPr>
                <w:rFonts w:eastAsia="Times New Roman" w:cs="Arial"/>
                <w:sz w:val="20"/>
                <w:szCs w:val="20"/>
                <w:lang w:eastAsia="fr-BE"/>
              </w:rPr>
            </w:pPr>
            <w:r w:rsidRPr="007A7C00">
              <w:rPr>
                <w:rFonts w:eastAsia="Times New Roman" w:cs="Arial"/>
                <w:sz w:val="20"/>
                <w:szCs w:val="20"/>
                <w:lang w:eastAsia="fr-BE"/>
              </w:rPr>
              <w:t xml:space="preserve">Les montants sont exprimés en € </w:t>
            </w:r>
            <w:r w:rsidRPr="007A7C00">
              <w:rPr>
                <w:rFonts w:eastAsia="Times New Roman" w:cs="Arial"/>
                <w:b/>
                <w:bCs/>
                <w:sz w:val="20"/>
                <w:szCs w:val="20"/>
                <w:lang w:eastAsia="fr-BE"/>
              </w:rPr>
              <w:t>hors T.V.A</w:t>
            </w:r>
            <w:r w:rsidRPr="007A7C00">
              <w:rPr>
                <w:rFonts w:eastAsia="Times New Roman" w:cs="Arial"/>
                <w:sz w:val="20"/>
                <w:szCs w:val="20"/>
                <w:lang w:eastAsia="fr-BE"/>
              </w:rPr>
              <w:t> </w:t>
            </w:r>
          </w:p>
        </w:tc>
      </w:tr>
    </w:tbl>
    <w:p w:rsidR="00825CB5" w:rsidRPr="004C1DFD" w:rsidRDefault="00825CB5" w:rsidP="00795CED"/>
    <w:sectPr w:rsidR="00825CB5" w:rsidRPr="004C1DFD">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7BB" w:rsidRDefault="008717BB" w:rsidP="004C1DFD">
      <w:pPr>
        <w:spacing w:after="0" w:line="240" w:lineRule="auto"/>
      </w:pPr>
      <w:r>
        <w:separator/>
      </w:r>
    </w:p>
  </w:endnote>
  <w:endnote w:type="continuationSeparator" w:id="0">
    <w:p w:rsidR="008717BB" w:rsidRDefault="008717BB" w:rsidP="004C1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D59" w:rsidRDefault="00C53D59">
    <w:pPr>
      <w:pStyle w:val="Pieddepage"/>
    </w:pPr>
    <w:r>
      <w:t>RESA S.A. - 2021</w:t>
    </w:r>
    <w:r>
      <w:tab/>
      <w:t>GAZ</w:t>
    </w:r>
    <w:r>
      <w:tab/>
    </w:r>
    <w:r>
      <w:fldChar w:fldCharType="begin"/>
    </w:r>
    <w:r>
      <w:instrText xml:space="preserve"> PAGE   \* MERGEFORMAT </w:instrText>
    </w:r>
    <w:r>
      <w:fldChar w:fldCharType="separate"/>
    </w:r>
    <w:r w:rsidR="006654E2">
      <w:rPr>
        <w:noProof/>
      </w:rPr>
      <w:t>11</w:t>
    </w:r>
    <w:r>
      <w:fldChar w:fldCharType="end"/>
    </w:r>
    <w:r>
      <w:t>/</w:t>
    </w:r>
    <w:r w:rsidR="00233542">
      <w:rPr>
        <w:noProof/>
      </w:rPr>
      <w:fldChar w:fldCharType="begin"/>
    </w:r>
    <w:r w:rsidR="00233542">
      <w:rPr>
        <w:noProof/>
      </w:rPr>
      <w:instrText xml:space="preserve"> NUMPAGES   \* MERGEFORMAT </w:instrText>
    </w:r>
    <w:r w:rsidR="00233542">
      <w:rPr>
        <w:noProof/>
      </w:rPr>
      <w:fldChar w:fldCharType="separate"/>
    </w:r>
    <w:r w:rsidR="006654E2">
      <w:rPr>
        <w:noProof/>
      </w:rPr>
      <w:t>12</w:t>
    </w:r>
    <w:r w:rsidR="0023354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7BB" w:rsidRDefault="008717BB" w:rsidP="004C1DFD">
      <w:pPr>
        <w:spacing w:after="0" w:line="240" w:lineRule="auto"/>
      </w:pPr>
      <w:r>
        <w:separator/>
      </w:r>
    </w:p>
  </w:footnote>
  <w:footnote w:type="continuationSeparator" w:id="0">
    <w:p w:rsidR="008717BB" w:rsidRDefault="008717BB" w:rsidP="004C1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D59" w:rsidRDefault="00C53D59" w:rsidP="00334A46">
    <w:pPr>
      <w:pStyle w:val="En-tte"/>
      <w:tabs>
        <w:tab w:val="clear" w:pos="9072"/>
        <w:tab w:val="center" w:pos="0"/>
        <w:tab w:val="right" w:pos="8931"/>
      </w:tabs>
      <w:rPr>
        <w:sz w:val="24"/>
      </w:rPr>
    </w:pPr>
    <w:r w:rsidRPr="004C1DFD">
      <w:rPr>
        <w:noProof/>
        <w:lang w:eastAsia="fr-BE"/>
      </w:rPr>
      <w:drawing>
        <wp:inline distT="0" distB="0" distL="0" distR="0">
          <wp:extent cx="888047" cy="438150"/>
          <wp:effectExtent l="0" t="0" r="7620" b="0"/>
          <wp:docPr id="1" name="Image 1"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Pr>
        <w:sz w:val="24"/>
      </w:rPr>
      <w:t>GAZ</w:t>
    </w:r>
    <w:r w:rsidRPr="00334A46">
      <w:rPr>
        <w:sz w:val="24"/>
      </w:rPr>
      <w:tab/>
      <w:t>TARIF</w:t>
    </w:r>
    <w:r w:rsidR="004D3ABF">
      <w:rPr>
        <w:sz w:val="24"/>
      </w:rPr>
      <w:t>S</w:t>
    </w:r>
    <w:r w:rsidRPr="00334A46">
      <w:rPr>
        <w:sz w:val="24"/>
      </w:rPr>
      <w:t xml:space="preserve"> NON PERIODIQUE</w:t>
    </w:r>
    <w:r w:rsidR="004D3ABF">
      <w:rPr>
        <w:sz w:val="24"/>
      </w:rPr>
      <w:t>S</w:t>
    </w:r>
    <w:r w:rsidRPr="00334A46">
      <w:rPr>
        <w:sz w:val="24"/>
      </w:rPr>
      <w:t xml:space="preserve"> </w:t>
    </w:r>
    <w:r>
      <w:rPr>
        <w:sz w:val="24"/>
      </w:rPr>
      <w:t>– 2021</w:t>
    </w:r>
  </w:p>
  <w:p w:rsidR="00C53D59" w:rsidRDefault="00C53D59" w:rsidP="00E46C0E">
    <w:pPr>
      <w:pStyle w:val="En-tte"/>
      <w:tabs>
        <w:tab w:val="clear" w:pos="9072"/>
        <w:tab w:val="center" w:pos="0"/>
        <w:tab w:val="left" w:pos="3000"/>
        <w:tab w:val="right" w:pos="8931"/>
      </w:tabs>
      <w:rPr>
        <w:b/>
        <w:sz w:val="36"/>
      </w:rPr>
    </w:pPr>
    <w:r>
      <w:rPr>
        <w:sz w:val="24"/>
      </w:rPr>
      <w:tab/>
    </w:r>
    <w:r>
      <w:rPr>
        <w:sz w:val="24"/>
      </w:rPr>
      <w:tab/>
    </w:r>
  </w:p>
  <w:tbl>
    <w:tblPr>
      <w:tblStyle w:val="Grilledutableau"/>
      <w:tblW w:w="0" w:type="auto"/>
      <w:tblLook w:val="04A0" w:firstRow="1" w:lastRow="0" w:firstColumn="1" w:lastColumn="0" w:noHBand="0" w:noVBand="1"/>
    </w:tblPr>
    <w:tblGrid>
      <w:gridCol w:w="9062"/>
    </w:tblGrid>
    <w:tr w:rsidR="00C53D59" w:rsidTr="006A0378">
      <w:tc>
        <w:tcPr>
          <w:tcW w:w="9062" w:type="dxa"/>
          <w:shd w:val="clear" w:color="auto" w:fill="B4C6E7" w:themeFill="accent5" w:themeFillTint="66"/>
        </w:tcPr>
        <w:p w:rsidR="00C53D59" w:rsidRPr="007A7C00" w:rsidRDefault="00C53D59" w:rsidP="006A0378">
          <w:pPr>
            <w:pStyle w:val="En-tte"/>
            <w:tabs>
              <w:tab w:val="clear" w:pos="9072"/>
              <w:tab w:val="center" w:pos="0"/>
              <w:tab w:val="left" w:pos="3000"/>
              <w:tab w:val="right" w:pos="8931"/>
            </w:tabs>
            <w:jc w:val="center"/>
            <w:rPr>
              <w:b/>
              <w:sz w:val="40"/>
            </w:rPr>
          </w:pPr>
          <w:r w:rsidRPr="007A7C00">
            <w:rPr>
              <w:b/>
              <w:sz w:val="40"/>
            </w:rPr>
            <w:t>ETUDES</w:t>
          </w:r>
        </w:p>
      </w:tc>
    </w:tr>
  </w:tbl>
  <w:p w:rsidR="00C53D59" w:rsidRPr="00E46C0E" w:rsidRDefault="00C53D59" w:rsidP="00334A46">
    <w:pPr>
      <w:pStyle w:val="En-tte"/>
      <w:tabs>
        <w:tab w:val="clear" w:pos="9072"/>
        <w:tab w:val="center" w:pos="0"/>
        <w:tab w:val="right" w:pos="8931"/>
      </w:tabs>
      <w:rPr>
        <w:b/>
      </w:rPr>
    </w:pPr>
    <w:r w:rsidRPr="00E46C0E">
      <w:rPr>
        <w:b/>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D59" w:rsidRDefault="00C53D59" w:rsidP="00334A46">
    <w:pPr>
      <w:pStyle w:val="En-tte"/>
      <w:tabs>
        <w:tab w:val="clear" w:pos="9072"/>
        <w:tab w:val="center" w:pos="0"/>
        <w:tab w:val="right" w:pos="8931"/>
      </w:tabs>
      <w:rPr>
        <w:sz w:val="24"/>
      </w:rPr>
    </w:pPr>
    <w:r w:rsidRPr="004C1DFD">
      <w:rPr>
        <w:noProof/>
        <w:lang w:eastAsia="fr-BE"/>
      </w:rPr>
      <w:drawing>
        <wp:inline distT="0" distB="0" distL="0" distR="0" wp14:anchorId="3E08C37C" wp14:editId="71404B81">
          <wp:extent cx="888047" cy="438150"/>
          <wp:effectExtent l="0" t="0" r="7620" b="0"/>
          <wp:docPr id="3" name="Image 3"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4D3ABF">
      <w:rPr>
        <w:sz w:val="24"/>
      </w:rPr>
      <w:t>S</w:t>
    </w:r>
    <w:r w:rsidRPr="00334A46">
      <w:rPr>
        <w:sz w:val="24"/>
      </w:rPr>
      <w:t xml:space="preserve"> NON PERIODIQUE</w:t>
    </w:r>
    <w:r w:rsidR="004D3ABF">
      <w:rPr>
        <w:sz w:val="24"/>
      </w:rPr>
      <w:t>S</w:t>
    </w:r>
    <w:r w:rsidRPr="00334A46">
      <w:rPr>
        <w:sz w:val="24"/>
      </w:rPr>
      <w:t xml:space="preserve"> </w:t>
    </w:r>
    <w:r>
      <w:rPr>
        <w:sz w:val="24"/>
      </w:rPr>
      <w:t>– 2021</w:t>
    </w:r>
  </w:p>
  <w:p w:rsidR="00C53D59" w:rsidRDefault="00C53D59"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C53D59" w:rsidTr="00056BD5">
      <w:tc>
        <w:tcPr>
          <w:tcW w:w="9062" w:type="dxa"/>
          <w:shd w:val="clear" w:color="auto" w:fill="B4C6E7" w:themeFill="accent5" w:themeFillTint="66"/>
        </w:tcPr>
        <w:p w:rsidR="00C53D59" w:rsidRPr="006A0378" w:rsidRDefault="00C53D59" w:rsidP="008B42B3">
          <w:pPr>
            <w:pStyle w:val="En-tte"/>
            <w:tabs>
              <w:tab w:val="clear" w:pos="9072"/>
              <w:tab w:val="center" w:pos="0"/>
              <w:tab w:val="left" w:pos="3000"/>
              <w:tab w:val="right" w:pos="8931"/>
            </w:tabs>
            <w:jc w:val="center"/>
            <w:rPr>
              <w:sz w:val="24"/>
            </w:rPr>
          </w:pPr>
          <w:r>
            <w:rPr>
              <w:b/>
              <w:sz w:val="40"/>
            </w:rPr>
            <w:t>RACCORDEMENT AU RESEAU BP</w:t>
          </w:r>
        </w:p>
      </w:tc>
    </w:tr>
  </w:tbl>
  <w:p w:rsidR="00C53D59" w:rsidRPr="00E46C0E" w:rsidRDefault="00C53D59" w:rsidP="00056BD5">
    <w:pPr>
      <w:pStyle w:val="En-tte"/>
      <w:tabs>
        <w:tab w:val="clear" w:pos="9072"/>
        <w:tab w:val="center" w:pos="0"/>
        <w:tab w:val="left" w:pos="3000"/>
        <w:tab w:val="right" w:pos="8931"/>
      </w:tabs>
      <w:rPr>
        <w:b/>
      </w:rPr>
    </w:pPr>
    <w:r>
      <w:rPr>
        <w:sz w:val="24"/>
      </w:rPr>
      <w:tab/>
    </w:r>
    <w:r w:rsidRPr="00E46C0E">
      <w:rPr>
        <w: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D59" w:rsidRDefault="00C53D59" w:rsidP="00334A46">
    <w:pPr>
      <w:pStyle w:val="En-tte"/>
      <w:tabs>
        <w:tab w:val="clear" w:pos="9072"/>
        <w:tab w:val="center" w:pos="0"/>
        <w:tab w:val="right" w:pos="8931"/>
      </w:tabs>
      <w:rPr>
        <w:sz w:val="24"/>
      </w:rPr>
    </w:pPr>
    <w:r w:rsidRPr="004C1DFD">
      <w:rPr>
        <w:noProof/>
        <w:lang w:eastAsia="fr-BE"/>
      </w:rPr>
      <w:drawing>
        <wp:inline distT="0" distB="0" distL="0" distR="0" wp14:anchorId="19874EE8" wp14:editId="76EAD985">
          <wp:extent cx="888047" cy="438150"/>
          <wp:effectExtent l="0" t="0" r="7620" b="0"/>
          <wp:docPr id="17" name="Image 17"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4D3ABF">
      <w:rPr>
        <w:sz w:val="24"/>
      </w:rPr>
      <w:t>S</w:t>
    </w:r>
    <w:r w:rsidRPr="00334A46">
      <w:rPr>
        <w:sz w:val="24"/>
      </w:rPr>
      <w:t xml:space="preserve"> NON PERIODIQUE</w:t>
    </w:r>
    <w:r w:rsidR="004D3ABF">
      <w:rPr>
        <w:sz w:val="24"/>
      </w:rPr>
      <w:t>S</w:t>
    </w:r>
    <w:r w:rsidRPr="00334A46">
      <w:rPr>
        <w:sz w:val="24"/>
      </w:rPr>
      <w:t xml:space="preserve"> </w:t>
    </w:r>
    <w:r>
      <w:rPr>
        <w:sz w:val="24"/>
      </w:rPr>
      <w:t>– 2021</w:t>
    </w:r>
  </w:p>
  <w:p w:rsidR="00C53D59" w:rsidRDefault="00C53D59"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C53D59" w:rsidTr="00056BD5">
      <w:tc>
        <w:tcPr>
          <w:tcW w:w="9062" w:type="dxa"/>
          <w:shd w:val="clear" w:color="auto" w:fill="B4C6E7" w:themeFill="accent5" w:themeFillTint="66"/>
        </w:tcPr>
        <w:p w:rsidR="00C53D59" w:rsidRPr="006A0378" w:rsidRDefault="00C53D59" w:rsidP="00B04BF8">
          <w:pPr>
            <w:pStyle w:val="En-tte"/>
            <w:tabs>
              <w:tab w:val="clear" w:pos="9072"/>
              <w:tab w:val="center" w:pos="0"/>
              <w:tab w:val="left" w:pos="3000"/>
              <w:tab w:val="right" w:pos="8931"/>
            </w:tabs>
            <w:jc w:val="center"/>
            <w:rPr>
              <w:sz w:val="24"/>
            </w:rPr>
          </w:pPr>
          <w:r>
            <w:rPr>
              <w:b/>
              <w:sz w:val="40"/>
            </w:rPr>
            <w:t>RACCORDEMENTS MP</w:t>
          </w:r>
        </w:p>
      </w:tc>
    </w:tr>
  </w:tbl>
  <w:p w:rsidR="00C53D59" w:rsidRPr="00E46C0E" w:rsidRDefault="00C53D59" w:rsidP="00056BD5">
    <w:pPr>
      <w:pStyle w:val="En-tte"/>
      <w:tabs>
        <w:tab w:val="clear" w:pos="9072"/>
        <w:tab w:val="center" w:pos="0"/>
        <w:tab w:val="left" w:pos="3000"/>
        <w:tab w:val="right" w:pos="8931"/>
      </w:tabs>
      <w:rPr>
        <w:b/>
      </w:rPr>
    </w:pPr>
    <w:r>
      <w:rPr>
        <w:sz w:val="24"/>
      </w:rPr>
      <w:tab/>
    </w:r>
    <w:r w:rsidRPr="00E46C0E">
      <w:rPr>
        <w:b/>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D59" w:rsidRDefault="00C53D59" w:rsidP="00334A46">
    <w:pPr>
      <w:pStyle w:val="En-tte"/>
      <w:tabs>
        <w:tab w:val="clear" w:pos="9072"/>
        <w:tab w:val="center" w:pos="0"/>
        <w:tab w:val="right" w:pos="8931"/>
      </w:tabs>
      <w:rPr>
        <w:sz w:val="24"/>
      </w:rPr>
    </w:pPr>
    <w:r w:rsidRPr="004C1DFD">
      <w:rPr>
        <w:noProof/>
        <w:lang w:eastAsia="fr-BE"/>
      </w:rPr>
      <w:drawing>
        <wp:inline distT="0" distB="0" distL="0" distR="0" wp14:anchorId="16A8B7E6" wp14:editId="61A3B7A3">
          <wp:extent cx="888047" cy="438150"/>
          <wp:effectExtent l="0" t="0" r="7620" b="0"/>
          <wp:docPr id="23" name="Image 23"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4D3ABF">
      <w:rPr>
        <w:sz w:val="24"/>
      </w:rPr>
      <w:t>S</w:t>
    </w:r>
    <w:r w:rsidRPr="00334A46">
      <w:rPr>
        <w:sz w:val="24"/>
      </w:rPr>
      <w:t xml:space="preserve"> NON PERIODIQUE</w:t>
    </w:r>
    <w:r w:rsidR="004D3ABF">
      <w:rPr>
        <w:sz w:val="24"/>
      </w:rPr>
      <w:t>S</w:t>
    </w:r>
    <w:r w:rsidRPr="00334A46">
      <w:rPr>
        <w:sz w:val="24"/>
      </w:rPr>
      <w:t xml:space="preserve"> </w:t>
    </w:r>
    <w:r>
      <w:rPr>
        <w:sz w:val="24"/>
      </w:rPr>
      <w:t>– 2021</w:t>
    </w:r>
  </w:p>
  <w:p w:rsidR="00C53D59" w:rsidRDefault="00C53D59"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C53D59" w:rsidTr="00056BD5">
      <w:tc>
        <w:tcPr>
          <w:tcW w:w="9062" w:type="dxa"/>
          <w:shd w:val="clear" w:color="auto" w:fill="B4C6E7" w:themeFill="accent5" w:themeFillTint="66"/>
        </w:tcPr>
        <w:p w:rsidR="00C53D59" w:rsidRPr="006A0378" w:rsidRDefault="00C53D59" w:rsidP="00B6122E">
          <w:pPr>
            <w:pStyle w:val="En-tte"/>
            <w:tabs>
              <w:tab w:val="clear" w:pos="9072"/>
              <w:tab w:val="center" w:pos="0"/>
              <w:tab w:val="left" w:pos="3000"/>
              <w:tab w:val="right" w:pos="8931"/>
            </w:tabs>
            <w:jc w:val="center"/>
            <w:rPr>
              <w:sz w:val="24"/>
            </w:rPr>
          </w:pPr>
          <w:r>
            <w:rPr>
              <w:b/>
              <w:sz w:val="40"/>
            </w:rPr>
            <w:t>CABINES et POSTES de DETENTE</w:t>
          </w:r>
        </w:p>
      </w:tc>
    </w:tr>
  </w:tbl>
  <w:p w:rsidR="00C53D59" w:rsidRPr="00E46C0E" w:rsidRDefault="00C53D59" w:rsidP="00056BD5">
    <w:pPr>
      <w:pStyle w:val="En-tte"/>
      <w:tabs>
        <w:tab w:val="clear" w:pos="9072"/>
        <w:tab w:val="center" w:pos="0"/>
        <w:tab w:val="left" w:pos="3000"/>
        <w:tab w:val="right" w:pos="8931"/>
      </w:tabs>
      <w:rPr>
        <w:b/>
      </w:rPr>
    </w:pPr>
    <w:r>
      <w:rPr>
        <w:sz w:val="24"/>
      </w:rPr>
      <w:tab/>
    </w:r>
    <w:r w:rsidRPr="00E46C0E">
      <w:rPr>
        <w:b/>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D59" w:rsidRDefault="00C53D59" w:rsidP="00334A46">
    <w:pPr>
      <w:pStyle w:val="En-tte"/>
      <w:tabs>
        <w:tab w:val="clear" w:pos="9072"/>
        <w:tab w:val="center" w:pos="0"/>
        <w:tab w:val="right" w:pos="8931"/>
      </w:tabs>
      <w:rPr>
        <w:sz w:val="24"/>
      </w:rPr>
    </w:pPr>
    <w:r w:rsidRPr="004C1DFD">
      <w:rPr>
        <w:noProof/>
        <w:lang w:eastAsia="fr-BE"/>
      </w:rPr>
      <w:drawing>
        <wp:inline distT="0" distB="0" distL="0" distR="0" wp14:anchorId="7E1C44C3" wp14:editId="1D86D824">
          <wp:extent cx="888047" cy="438150"/>
          <wp:effectExtent l="0" t="0" r="7620" b="0"/>
          <wp:docPr id="5" name="Image 5"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4D3ABF">
      <w:rPr>
        <w:sz w:val="24"/>
      </w:rPr>
      <w:t>S</w:t>
    </w:r>
    <w:r w:rsidRPr="00334A46">
      <w:rPr>
        <w:sz w:val="24"/>
      </w:rPr>
      <w:t xml:space="preserve"> NON PERIODIQUE</w:t>
    </w:r>
    <w:r w:rsidR="004D3ABF">
      <w:rPr>
        <w:sz w:val="24"/>
      </w:rPr>
      <w:t>S</w:t>
    </w:r>
    <w:r w:rsidRPr="00334A46">
      <w:rPr>
        <w:sz w:val="24"/>
      </w:rPr>
      <w:t xml:space="preserve"> </w:t>
    </w:r>
    <w:r>
      <w:rPr>
        <w:sz w:val="24"/>
      </w:rPr>
      <w:t>– 2021</w:t>
    </w:r>
  </w:p>
  <w:p w:rsidR="00C53D59" w:rsidRDefault="00C53D59"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2"/>
    </w:tblGrid>
    <w:tr w:rsidR="00C53D59" w:rsidTr="00056BD5">
      <w:tc>
        <w:tcPr>
          <w:tcW w:w="9062" w:type="dxa"/>
          <w:shd w:val="clear" w:color="auto" w:fill="B4C6E7" w:themeFill="accent5" w:themeFillTint="66"/>
        </w:tcPr>
        <w:p w:rsidR="00C53D59" w:rsidRPr="006A0378" w:rsidRDefault="00C53D59" w:rsidP="00B6122E">
          <w:pPr>
            <w:pStyle w:val="En-tte"/>
            <w:tabs>
              <w:tab w:val="clear" w:pos="9072"/>
              <w:tab w:val="center" w:pos="0"/>
              <w:tab w:val="left" w:pos="3000"/>
              <w:tab w:val="right" w:pos="8931"/>
            </w:tabs>
            <w:jc w:val="center"/>
            <w:rPr>
              <w:sz w:val="24"/>
            </w:rPr>
          </w:pPr>
          <w:r w:rsidRPr="00A91244">
            <w:rPr>
              <w:b/>
              <w:sz w:val="40"/>
            </w:rPr>
            <w:t>COMPTAGE</w:t>
          </w:r>
        </w:p>
      </w:tc>
    </w:tr>
  </w:tbl>
  <w:p w:rsidR="00C53D59" w:rsidRPr="00E46C0E" w:rsidRDefault="00C53D59" w:rsidP="00056BD5">
    <w:pPr>
      <w:pStyle w:val="En-tte"/>
      <w:tabs>
        <w:tab w:val="clear" w:pos="9072"/>
        <w:tab w:val="center" w:pos="0"/>
        <w:tab w:val="left" w:pos="3000"/>
        <w:tab w:val="right" w:pos="8931"/>
      </w:tabs>
      <w:rPr>
        <w:b/>
      </w:rPr>
    </w:pPr>
    <w:r>
      <w:rPr>
        <w:sz w:val="24"/>
      </w:rPr>
      <w:tab/>
    </w:r>
    <w:r w:rsidRPr="00E46C0E">
      <w:rPr>
        <w:b/>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D59" w:rsidRDefault="00C53D59" w:rsidP="00334A46">
    <w:pPr>
      <w:pStyle w:val="En-tte"/>
      <w:tabs>
        <w:tab w:val="clear" w:pos="9072"/>
        <w:tab w:val="center" w:pos="0"/>
        <w:tab w:val="right" w:pos="8931"/>
      </w:tabs>
      <w:rPr>
        <w:sz w:val="24"/>
      </w:rPr>
    </w:pPr>
    <w:r w:rsidRPr="004C1DFD">
      <w:rPr>
        <w:noProof/>
        <w:lang w:eastAsia="fr-BE"/>
      </w:rPr>
      <w:drawing>
        <wp:inline distT="0" distB="0" distL="0" distR="0" wp14:anchorId="5D260F4C" wp14:editId="1825C7C1">
          <wp:extent cx="888047" cy="438150"/>
          <wp:effectExtent l="0" t="0" r="7620" b="0"/>
          <wp:docPr id="11" name="Image 11"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4D3ABF">
      <w:rPr>
        <w:sz w:val="24"/>
      </w:rPr>
      <w:t>S</w:t>
    </w:r>
    <w:r w:rsidRPr="00334A46">
      <w:rPr>
        <w:sz w:val="24"/>
      </w:rPr>
      <w:t xml:space="preserve"> NON PERIODIQUE</w:t>
    </w:r>
    <w:r w:rsidR="004D3ABF">
      <w:rPr>
        <w:sz w:val="24"/>
      </w:rPr>
      <w:t>S</w:t>
    </w:r>
    <w:r w:rsidRPr="00334A46">
      <w:rPr>
        <w:sz w:val="24"/>
      </w:rPr>
      <w:t xml:space="preserve"> </w:t>
    </w:r>
    <w:r>
      <w:rPr>
        <w:sz w:val="24"/>
      </w:rPr>
      <w:t>– 2021</w:t>
    </w:r>
  </w:p>
  <w:p w:rsidR="00C53D59" w:rsidRDefault="00C53D59" w:rsidP="00E46C0E">
    <w:pPr>
      <w:pStyle w:val="En-tte"/>
      <w:tabs>
        <w:tab w:val="clear" w:pos="9072"/>
        <w:tab w:val="center" w:pos="0"/>
        <w:tab w:val="left" w:pos="3000"/>
        <w:tab w:val="right" w:pos="8931"/>
      </w:tabs>
      <w:rPr>
        <w:sz w:val="24"/>
      </w:rPr>
    </w:pPr>
    <w:r>
      <w:rPr>
        <w:sz w:val="24"/>
      </w:rPr>
      <w:tab/>
    </w:r>
  </w:p>
  <w:tbl>
    <w:tblPr>
      <w:tblStyle w:val="Grilledutableau"/>
      <w:tblW w:w="0" w:type="auto"/>
      <w:tblLook w:val="04A0" w:firstRow="1" w:lastRow="0" w:firstColumn="1" w:lastColumn="0" w:noHBand="0" w:noVBand="1"/>
    </w:tblPr>
    <w:tblGrid>
      <w:gridCol w:w="9060"/>
    </w:tblGrid>
    <w:tr w:rsidR="00C53D59" w:rsidTr="00056BD5">
      <w:tc>
        <w:tcPr>
          <w:tcW w:w="9062" w:type="dxa"/>
          <w:shd w:val="clear" w:color="auto" w:fill="B4C6E7" w:themeFill="accent5" w:themeFillTint="66"/>
        </w:tcPr>
        <w:p w:rsidR="00C53D59" w:rsidRPr="006A0378" w:rsidRDefault="00C53D59" w:rsidP="00056BD5">
          <w:pPr>
            <w:pStyle w:val="En-tte"/>
            <w:tabs>
              <w:tab w:val="clear" w:pos="9072"/>
              <w:tab w:val="center" w:pos="0"/>
              <w:tab w:val="left" w:pos="3000"/>
              <w:tab w:val="right" w:pos="8931"/>
            </w:tabs>
            <w:jc w:val="center"/>
            <w:rPr>
              <w:sz w:val="24"/>
            </w:rPr>
          </w:pPr>
          <w:r>
            <w:rPr>
              <w:b/>
              <w:sz w:val="40"/>
            </w:rPr>
            <w:t>VIABILISATION DE TERRAIN</w:t>
          </w:r>
        </w:p>
      </w:tc>
    </w:tr>
  </w:tbl>
  <w:p w:rsidR="00C53D59" w:rsidRPr="00E46C0E" w:rsidRDefault="00C53D59" w:rsidP="00056BD5">
    <w:pPr>
      <w:pStyle w:val="En-tte"/>
      <w:tabs>
        <w:tab w:val="clear" w:pos="9072"/>
        <w:tab w:val="center" w:pos="0"/>
        <w:tab w:val="left" w:pos="3000"/>
        <w:tab w:val="right" w:pos="8931"/>
      </w:tabs>
      <w:rPr>
        <w:b/>
      </w:rPr>
    </w:pPr>
    <w:r>
      <w:rPr>
        <w:sz w:val="24"/>
      </w:rPr>
      <w:tab/>
    </w:r>
    <w:r w:rsidRPr="00E46C0E">
      <w:rPr>
        <w:b/>
      </w:rP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D59" w:rsidRDefault="00C53D59" w:rsidP="007A5B00">
    <w:pPr>
      <w:pStyle w:val="En-tte"/>
      <w:tabs>
        <w:tab w:val="clear" w:pos="9072"/>
        <w:tab w:val="center" w:pos="0"/>
        <w:tab w:val="right" w:pos="8931"/>
      </w:tabs>
      <w:rPr>
        <w:sz w:val="24"/>
      </w:rPr>
    </w:pPr>
    <w:r w:rsidRPr="004C1DFD">
      <w:rPr>
        <w:noProof/>
        <w:lang w:eastAsia="fr-BE"/>
      </w:rPr>
      <w:drawing>
        <wp:inline distT="0" distB="0" distL="0" distR="0" wp14:anchorId="6E6109A2" wp14:editId="1BBB7D38">
          <wp:extent cx="888047" cy="438150"/>
          <wp:effectExtent l="0" t="0" r="7620" b="0"/>
          <wp:docPr id="14" name="Image 14" descr="P:\LOGO_SIGLE\Resa_Quadri_Positif 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_SIGLE\Resa_Quadri_Positif Convert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46" cy="440173"/>
                  </a:xfrm>
                  <a:prstGeom prst="rect">
                    <a:avLst/>
                  </a:prstGeom>
                  <a:noFill/>
                  <a:ln>
                    <a:noFill/>
                  </a:ln>
                </pic:spPr>
              </pic:pic>
            </a:graphicData>
          </a:graphic>
        </wp:inline>
      </w:drawing>
    </w:r>
    <w:r>
      <w:tab/>
    </w:r>
    <w:r w:rsidRPr="00334A46">
      <w:rPr>
        <w:sz w:val="24"/>
      </w:rPr>
      <w:tab/>
      <w:t>TARIF</w:t>
    </w:r>
    <w:r w:rsidR="004D3ABF">
      <w:rPr>
        <w:sz w:val="24"/>
      </w:rPr>
      <w:t>S</w:t>
    </w:r>
    <w:r w:rsidRPr="00334A46">
      <w:rPr>
        <w:sz w:val="24"/>
      </w:rPr>
      <w:t xml:space="preserve"> NON PERIODIQUE</w:t>
    </w:r>
    <w:r w:rsidR="004D3ABF">
      <w:rPr>
        <w:sz w:val="24"/>
      </w:rPr>
      <w:t>S</w:t>
    </w:r>
    <w:r w:rsidRPr="00334A46">
      <w:rPr>
        <w:sz w:val="24"/>
      </w:rPr>
      <w:t xml:space="preserve"> </w:t>
    </w:r>
    <w:r>
      <w:rPr>
        <w:sz w:val="24"/>
      </w:rPr>
      <w:t>–</w:t>
    </w:r>
    <w:r w:rsidRPr="00334A46">
      <w:rPr>
        <w:sz w:val="24"/>
      </w:rPr>
      <w:t xml:space="preserve"> 20</w:t>
    </w:r>
    <w:r>
      <w:rPr>
        <w:sz w:val="24"/>
      </w:rPr>
      <w:t>21</w:t>
    </w:r>
    <w:r>
      <w:rPr>
        <w:sz w:val="24"/>
      </w:rPr>
      <w:tab/>
    </w:r>
  </w:p>
  <w:tbl>
    <w:tblPr>
      <w:tblStyle w:val="Grilledutableau"/>
      <w:tblW w:w="0" w:type="auto"/>
      <w:tblLook w:val="04A0" w:firstRow="1" w:lastRow="0" w:firstColumn="1" w:lastColumn="0" w:noHBand="0" w:noVBand="1"/>
    </w:tblPr>
    <w:tblGrid>
      <w:gridCol w:w="9062"/>
    </w:tblGrid>
    <w:tr w:rsidR="00C53D59" w:rsidTr="00056BD5">
      <w:tc>
        <w:tcPr>
          <w:tcW w:w="9062" w:type="dxa"/>
          <w:shd w:val="clear" w:color="auto" w:fill="B4C6E7" w:themeFill="accent5" w:themeFillTint="66"/>
        </w:tcPr>
        <w:p w:rsidR="00C53D59" w:rsidRPr="006A0378" w:rsidRDefault="00C53D59" w:rsidP="0025151B">
          <w:pPr>
            <w:pStyle w:val="En-tte"/>
            <w:tabs>
              <w:tab w:val="clear" w:pos="9072"/>
              <w:tab w:val="center" w:pos="0"/>
              <w:tab w:val="left" w:pos="3000"/>
              <w:tab w:val="right" w:pos="8931"/>
            </w:tabs>
            <w:jc w:val="center"/>
            <w:rPr>
              <w:sz w:val="24"/>
            </w:rPr>
          </w:pPr>
          <w:r w:rsidRPr="00314A91">
            <w:rPr>
              <w:b/>
              <w:sz w:val="40"/>
            </w:rPr>
            <w:t xml:space="preserve">PRESTATIONS </w:t>
          </w:r>
          <w:r>
            <w:rPr>
              <w:b/>
              <w:sz w:val="40"/>
            </w:rPr>
            <w:t>DIVERSES ADMINISTRATIVES</w:t>
          </w:r>
        </w:p>
      </w:tc>
    </w:tr>
  </w:tbl>
  <w:p w:rsidR="00C53D59" w:rsidRPr="00E46C0E" w:rsidRDefault="00C53D59" w:rsidP="00056BD5">
    <w:pPr>
      <w:pStyle w:val="En-tte"/>
      <w:tabs>
        <w:tab w:val="clear" w:pos="9072"/>
        <w:tab w:val="center" w:pos="0"/>
        <w:tab w:val="left" w:pos="3000"/>
        <w:tab w:val="right" w:pos="8931"/>
      </w:tabs>
      <w:rPr>
        <w:b/>
      </w:rPr>
    </w:pPr>
    <w:r>
      <w:rPr>
        <w:sz w:val="24"/>
      </w:rPr>
      <w:tab/>
    </w:r>
    <w:r w:rsidRPr="00E46C0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A4E"/>
    <w:multiLevelType w:val="hybridMultilevel"/>
    <w:tmpl w:val="ACBC1C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B294EC6"/>
    <w:multiLevelType w:val="hybridMultilevel"/>
    <w:tmpl w:val="B258738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09A0814"/>
    <w:multiLevelType w:val="hybridMultilevel"/>
    <w:tmpl w:val="349EE1E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F5443AB"/>
    <w:multiLevelType w:val="hybridMultilevel"/>
    <w:tmpl w:val="80E0890C"/>
    <w:lvl w:ilvl="0" w:tplc="080C0003">
      <w:start w:val="1"/>
      <w:numFmt w:val="bullet"/>
      <w:lvlText w:val="o"/>
      <w:lvlJc w:val="left"/>
      <w:pPr>
        <w:ind w:left="1068" w:hanging="360"/>
      </w:pPr>
      <w:rPr>
        <w:rFonts w:ascii="Courier New" w:hAnsi="Courier New" w:cs="Courier New"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 w15:restartNumberingAfterBreak="0">
    <w:nsid w:val="4C4E1832"/>
    <w:multiLevelType w:val="hybridMultilevel"/>
    <w:tmpl w:val="D390D75C"/>
    <w:lvl w:ilvl="0" w:tplc="C43CE78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1AA1F3D"/>
    <w:multiLevelType w:val="hybridMultilevel"/>
    <w:tmpl w:val="5E36C5B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55D10CA7"/>
    <w:multiLevelType w:val="hybridMultilevel"/>
    <w:tmpl w:val="33326C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5AC5728A"/>
    <w:multiLevelType w:val="hybridMultilevel"/>
    <w:tmpl w:val="F62A3910"/>
    <w:lvl w:ilvl="0" w:tplc="080C0003">
      <w:start w:val="1"/>
      <w:numFmt w:val="bullet"/>
      <w:lvlText w:val="o"/>
      <w:lvlJc w:val="left"/>
      <w:pPr>
        <w:ind w:left="1080" w:hanging="360"/>
      </w:pPr>
      <w:rPr>
        <w:rFonts w:ascii="Courier New" w:hAnsi="Courier New" w:cs="Courier New"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8" w15:restartNumberingAfterBreak="0">
    <w:nsid w:val="64C76CE3"/>
    <w:multiLevelType w:val="hybridMultilevel"/>
    <w:tmpl w:val="C87A8BC6"/>
    <w:lvl w:ilvl="0" w:tplc="080C0003">
      <w:start w:val="1"/>
      <w:numFmt w:val="bullet"/>
      <w:lvlText w:val="o"/>
      <w:lvlJc w:val="left"/>
      <w:pPr>
        <w:ind w:left="1068" w:hanging="360"/>
      </w:pPr>
      <w:rPr>
        <w:rFonts w:ascii="Courier New" w:hAnsi="Courier New" w:cs="Courier New" w:hint="default"/>
      </w:rPr>
    </w:lvl>
    <w:lvl w:ilvl="1" w:tplc="BFBC007C">
      <w:numFmt w:val="bullet"/>
      <w:lvlText w:val="-"/>
      <w:lvlJc w:val="left"/>
      <w:pPr>
        <w:ind w:left="1788" w:hanging="360"/>
      </w:pPr>
      <w:rPr>
        <w:rFonts w:ascii="Calibri" w:eastAsiaTheme="minorHAnsi" w:hAnsi="Calibri" w:cstheme="minorBidi"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9" w15:restartNumberingAfterBreak="0">
    <w:nsid w:val="78AE0C4B"/>
    <w:multiLevelType w:val="hybridMultilevel"/>
    <w:tmpl w:val="4C945D8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7B10624E"/>
    <w:multiLevelType w:val="hybridMultilevel"/>
    <w:tmpl w:val="3190C92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7B9A18C7"/>
    <w:multiLevelType w:val="hybridMultilevel"/>
    <w:tmpl w:val="4C2C9626"/>
    <w:lvl w:ilvl="0" w:tplc="4EF6C57A">
      <w:numFmt w:val="bullet"/>
      <w:lvlText w:val="-"/>
      <w:lvlJc w:val="left"/>
      <w:pPr>
        <w:ind w:left="855" w:hanging="360"/>
      </w:pPr>
      <w:rPr>
        <w:rFonts w:ascii="Calibri" w:eastAsiaTheme="minorHAnsi" w:hAnsi="Calibri" w:cstheme="minorBidi" w:hint="default"/>
      </w:rPr>
    </w:lvl>
    <w:lvl w:ilvl="1" w:tplc="080C0003" w:tentative="1">
      <w:start w:val="1"/>
      <w:numFmt w:val="bullet"/>
      <w:lvlText w:val="o"/>
      <w:lvlJc w:val="left"/>
      <w:pPr>
        <w:ind w:left="1575" w:hanging="360"/>
      </w:pPr>
      <w:rPr>
        <w:rFonts w:ascii="Courier New" w:hAnsi="Courier New" w:cs="Courier New" w:hint="default"/>
      </w:rPr>
    </w:lvl>
    <w:lvl w:ilvl="2" w:tplc="080C0005" w:tentative="1">
      <w:start w:val="1"/>
      <w:numFmt w:val="bullet"/>
      <w:lvlText w:val=""/>
      <w:lvlJc w:val="left"/>
      <w:pPr>
        <w:ind w:left="2295" w:hanging="360"/>
      </w:pPr>
      <w:rPr>
        <w:rFonts w:ascii="Wingdings" w:hAnsi="Wingdings" w:hint="default"/>
      </w:rPr>
    </w:lvl>
    <w:lvl w:ilvl="3" w:tplc="080C0001" w:tentative="1">
      <w:start w:val="1"/>
      <w:numFmt w:val="bullet"/>
      <w:lvlText w:val=""/>
      <w:lvlJc w:val="left"/>
      <w:pPr>
        <w:ind w:left="3015" w:hanging="360"/>
      </w:pPr>
      <w:rPr>
        <w:rFonts w:ascii="Symbol" w:hAnsi="Symbol" w:hint="default"/>
      </w:rPr>
    </w:lvl>
    <w:lvl w:ilvl="4" w:tplc="080C0003" w:tentative="1">
      <w:start w:val="1"/>
      <w:numFmt w:val="bullet"/>
      <w:lvlText w:val="o"/>
      <w:lvlJc w:val="left"/>
      <w:pPr>
        <w:ind w:left="3735" w:hanging="360"/>
      </w:pPr>
      <w:rPr>
        <w:rFonts w:ascii="Courier New" w:hAnsi="Courier New" w:cs="Courier New" w:hint="default"/>
      </w:rPr>
    </w:lvl>
    <w:lvl w:ilvl="5" w:tplc="080C0005" w:tentative="1">
      <w:start w:val="1"/>
      <w:numFmt w:val="bullet"/>
      <w:lvlText w:val=""/>
      <w:lvlJc w:val="left"/>
      <w:pPr>
        <w:ind w:left="4455" w:hanging="360"/>
      </w:pPr>
      <w:rPr>
        <w:rFonts w:ascii="Wingdings" w:hAnsi="Wingdings" w:hint="default"/>
      </w:rPr>
    </w:lvl>
    <w:lvl w:ilvl="6" w:tplc="080C0001" w:tentative="1">
      <w:start w:val="1"/>
      <w:numFmt w:val="bullet"/>
      <w:lvlText w:val=""/>
      <w:lvlJc w:val="left"/>
      <w:pPr>
        <w:ind w:left="5175" w:hanging="360"/>
      </w:pPr>
      <w:rPr>
        <w:rFonts w:ascii="Symbol" w:hAnsi="Symbol" w:hint="default"/>
      </w:rPr>
    </w:lvl>
    <w:lvl w:ilvl="7" w:tplc="080C0003" w:tentative="1">
      <w:start w:val="1"/>
      <w:numFmt w:val="bullet"/>
      <w:lvlText w:val="o"/>
      <w:lvlJc w:val="left"/>
      <w:pPr>
        <w:ind w:left="5895" w:hanging="360"/>
      </w:pPr>
      <w:rPr>
        <w:rFonts w:ascii="Courier New" w:hAnsi="Courier New" w:cs="Courier New" w:hint="default"/>
      </w:rPr>
    </w:lvl>
    <w:lvl w:ilvl="8" w:tplc="080C0005" w:tentative="1">
      <w:start w:val="1"/>
      <w:numFmt w:val="bullet"/>
      <w:lvlText w:val=""/>
      <w:lvlJc w:val="left"/>
      <w:pPr>
        <w:ind w:left="6615" w:hanging="360"/>
      </w:pPr>
      <w:rPr>
        <w:rFonts w:ascii="Wingdings" w:hAnsi="Wingdings" w:hint="default"/>
      </w:rPr>
    </w:lvl>
  </w:abstractNum>
  <w:abstractNum w:abstractNumId="12" w15:restartNumberingAfterBreak="0">
    <w:nsid w:val="7F8607D8"/>
    <w:multiLevelType w:val="hybridMultilevel"/>
    <w:tmpl w:val="FB06A346"/>
    <w:lvl w:ilvl="0" w:tplc="ACD04E0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3"/>
  </w:num>
  <w:num w:numId="4">
    <w:abstractNumId w:val="10"/>
  </w:num>
  <w:num w:numId="5">
    <w:abstractNumId w:val="12"/>
  </w:num>
  <w:num w:numId="6">
    <w:abstractNumId w:val="5"/>
  </w:num>
  <w:num w:numId="7">
    <w:abstractNumId w:val="4"/>
  </w:num>
  <w:num w:numId="8">
    <w:abstractNumId w:val="7"/>
  </w:num>
  <w:num w:numId="9">
    <w:abstractNumId w:val="9"/>
  </w:num>
  <w:num w:numId="10">
    <w:abstractNumId w:val="2"/>
  </w:num>
  <w:num w:numId="11">
    <w:abstractNumId w:val="6"/>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367"/>
    <w:rsid w:val="000007EA"/>
    <w:rsid w:val="000056C2"/>
    <w:rsid w:val="00006191"/>
    <w:rsid w:val="0001187C"/>
    <w:rsid w:val="00056BD5"/>
    <w:rsid w:val="0005788F"/>
    <w:rsid w:val="0007763C"/>
    <w:rsid w:val="000963F4"/>
    <w:rsid w:val="000C0F10"/>
    <w:rsid w:val="000D1269"/>
    <w:rsid w:val="000D2537"/>
    <w:rsid w:val="000D5290"/>
    <w:rsid w:val="000D6F46"/>
    <w:rsid w:val="000F2E69"/>
    <w:rsid w:val="00103189"/>
    <w:rsid w:val="0011686A"/>
    <w:rsid w:val="00130993"/>
    <w:rsid w:val="00141E7E"/>
    <w:rsid w:val="0015750C"/>
    <w:rsid w:val="001676D7"/>
    <w:rsid w:val="0017406C"/>
    <w:rsid w:val="00180E36"/>
    <w:rsid w:val="00196DA6"/>
    <w:rsid w:val="001B16EA"/>
    <w:rsid w:val="001B17F7"/>
    <w:rsid w:val="001C33C8"/>
    <w:rsid w:val="001D1398"/>
    <w:rsid w:val="001D270C"/>
    <w:rsid w:val="001D5D99"/>
    <w:rsid w:val="0020447E"/>
    <w:rsid w:val="0022540C"/>
    <w:rsid w:val="00230EF3"/>
    <w:rsid w:val="00233542"/>
    <w:rsid w:val="0025151B"/>
    <w:rsid w:val="00251D50"/>
    <w:rsid w:val="00257A67"/>
    <w:rsid w:val="002623D4"/>
    <w:rsid w:val="0029212E"/>
    <w:rsid w:val="002A7B97"/>
    <w:rsid w:val="002D0DDD"/>
    <w:rsid w:val="002E5A6E"/>
    <w:rsid w:val="002F1F12"/>
    <w:rsid w:val="00314A91"/>
    <w:rsid w:val="00321A7C"/>
    <w:rsid w:val="00326E09"/>
    <w:rsid w:val="00334A46"/>
    <w:rsid w:val="00335726"/>
    <w:rsid w:val="0035046D"/>
    <w:rsid w:val="003A30D0"/>
    <w:rsid w:val="003C7B20"/>
    <w:rsid w:val="003D2472"/>
    <w:rsid w:val="0040082D"/>
    <w:rsid w:val="004045FC"/>
    <w:rsid w:val="00416C0C"/>
    <w:rsid w:val="004321BD"/>
    <w:rsid w:val="00432C52"/>
    <w:rsid w:val="00432DD8"/>
    <w:rsid w:val="00433D9D"/>
    <w:rsid w:val="00436F88"/>
    <w:rsid w:val="0044391A"/>
    <w:rsid w:val="004556BA"/>
    <w:rsid w:val="0045694C"/>
    <w:rsid w:val="00491222"/>
    <w:rsid w:val="004914FB"/>
    <w:rsid w:val="00494974"/>
    <w:rsid w:val="00497234"/>
    <w:rsid w:val="004A7682"/>
    <w:rsid w:val="004B4C08"/>
    <w:rsid w:val="004C1DFD"/>
    <w:rsid w:val="004D3ABF"/>
    <w:rsid w:val="004D761B"/>
    <w:rsid w:val="004E072C"/>
    <w:rsid w:val="004E33FC"/>
    <w:rsid w:val="004F503E"/>
    <w:rsid w:val="00504A1A"/>
    <w:rsid w:val="005100C9"/>
    <w:rsid w:val="005101C7"/>
    <w:rsid w:val="005230A4"/>
    <w:rsid w:val="00534143"/>
    <w:rsid w:val="00554242"/>
    <w:rsid w:val="00582074"/>
    <w:rsid w:val="00584076"/>
    <w:rsid w:val="0058733C"/>
    <w:rsid w:val="005A7634"/>
    <w:rsid w:val="005B23C6"/>
    <w:rsid w:val="005B4852"/>
    <w:rsid w:val="005C79CA"/>
    <w:rsid w:val="005D4889"/>
    <w:rsid w:val="005E10AE"/>
    <w:rsid w:val="005E725F"/>
    <w:rsid w:val="005F0ECB"/>
    <w:rsid w:val="00606EB8"/>
    <w:rsid w:val="00617BDC"/>
    <w:rsid w:val="00620FF1"/>
    <w:rsid w:val="0062548E"/>
    <w:rsid w:val="0063274A"/>
    <w:rsid w:val="0063788B"/>
    <w:rsid w:val="00643561"/>
    <w:rsid w:val="006544F3"/>
    <w:rsid w:val="00655B8C"/>
    <w:rsid w:val="00657620"/>
    <w:rsid w:val="00661340"/>
    <w:rsid w:val="00663F6D"/>
    <w:rsid w:val="006654E2"/>
    <w:rsid w:val="00666148"/>
    <w:rsid w:val="00682EDB"/>
    <w:rsid w:val="00684B3E"/>
    <w:rsid w:val="006A0378"/>
    <w:rsid w:val="006B5367"/>
    <w:rsid w:val="006C48D8"/>
    <w:rsid w:val="006E535C"/>
    <w:rsid w:val="006E7BBE"/>
    <w:rsid w:val="006F013B"/>
    <w:rsid w:val="006F5265"/>
    <w:rsid w:val="006F5569"/>
    <w:rsid w:val="00703888"/>
    <w:rsid w:val="00717933"/>
    <w:rsid w:val="00732704"/>
    <w:rsid w:val="00746BCC"/>
    <w:rsid w:val="007470A7"/>
    <w:rsid w:val="00751B93"/>
    <w:rsid w:val="00795CED"/>
    <w:rsid w:val="007A5B00"/>
    <w:rsid w:val="007A7C00"/>
    <w:rsid w:val="007C7279"/>
    <w:rsid w:val="007D77C8"/>
    <w:rsid w:val="007F29B4"/>
    <w:rsid w:val="00825CB5"/>
    <w:rsid w:val="00853E9D"/>
    <w:rsid w:val="0086760C"/>
    <w:rsid w:val="00867C0A"/>
    <w:rsid w:val="008717BB"/>
    <w:rsid w:val="0088374A"/>
    <w:rsid w:val="008B42B3"/>
    <w:rsid w:val="008B4539"/>
    <w:rsid w:val="008C227A"/>
    <w:rsid w:val="008E01FD"/>
    <w:rsid w:val="008E0ACF"/>
    <w:rsid w:val="008E6054"/>
    <w:rsid w:val="009056C1"/>
    <w:rsid w:val="00906076"/>
    <w:rsid w:val="00930A7F"/>
    <w:rsid w:val="00932DAD"/>
    <w:rsid w:val="00935851"/>
    <w:rsid w:val="00960FCB"/>
    <w:rsid w:val="0096111C"/>
    <w:rsid w:val="00961AE4"/>
    <w:rsid w:val="0097287B"/>
    <w:rsid w:val="00973626"/>
    <w:rsid w:val="0099552D"/>
    <w:rsid w:val="009A77F7"/>
    <w:rsid w:val="009C19D5"/>
    <w:rsid w:val="009D6CBA"/>
    <w:rsid w:val="009D6F04"/>
    <w:rsid w:val="00A04666"/>
    <w:rsid w:val="00A31DE8"/>
    <w:rsid w:val="00A40FEA"/>
    <w:rsid w:val="00A57583"/>
    <w:rsid w:val="00A616D4"/>
    <w:rsid w:val="00A91244"/>
    <w:rsid w:val="00A921EC"/>
    <w:rsid w:val="00AA4EF9"/>
    <w:rsid w:val="00AA7825"/>
    <w:rsid w:val="00AC38A9"/>
    <w:rsid w:val="00AD1EAD"/>
    <w:rsid w:val="00AE0292"/>
    <w:rsid w:val="00AE1B84"/>
    <w:rsid w:val="00AF2415"/>
    <w:rsid w:val="00B01F42"/>
    <w:rsid w:val="00B04BF8"/>
    <w:rsid w:val="00B06209"/>
    <w:rsid w:val="00B20D56"/>
    <w:rsid w:val="00B21B74"/>
    <w:rsid w:val="00B33848"/>
    <w:rsid w:val="00B371EE"/>
    <w:rsid w:val="00B3744E"/>
    <w:rsid w:val="00B6122E"/>
    <w:rsid w:val="00B62798"/>
    <w:rsid w:val="00B93DC7"/>
    <w:rsid w:val="00BC3B2B"/>
    <w:rsid w:val="00BD09F4"/>
    <w:rsid w:val="00BD23E5"/>
    <w:rsid w:val="00BD2BD4"/>
    <w:rsid w:val="00BD4B60"/>
    <w:rsid w:val="00BE55C8"/>
    <w:rsid w:val="00BF2FA0"/>
    <w:rsid w:val="00BF5C62"/>
    <w:rsid w:val="00BF6D23"/>
    <w:rsid w:val="00C139E0"/>
    <w:rsid w:val="00C315A1"/>
    <w:rsid w:val="00C52D96"/>
    <w:rsid w:val="00C53D59"/>
    <w:rsid w:val="00C56547"/>
    <w:rsid w:val="00C571CC"/>
    <w:rsid w:val="00C74898"/>
    <w:rsid w:val="00C84CFC"/>
    <w:rsid w:val="00C86F51"/>
    <w:rsid w:val="00CA0B27"/>
    <w:rsid w:val="00CA499C"/>
    <w:rsid w:val="00CC5AFE"/>
    <w:rsid w:val="00CD7A3E"/>
    <w:rsid w:val="00CE3980"/>
    <w:rsid w:val="00CE7A24"/>
    <w:rsid w:val="00CF35CD"/>
    <w:rsid w:val="00D0502C"/>
    <w:rsid w:val="00D05261"/>
    <w:rsid w:val="00D07EF1"/>
    <w:rsid w:val="00D16EA3"/>
    <w:rsid w:val="00D213AA"/>
    <w:rsid w:val="00D226D5"/>
    <w:rsid w:val="00D30980"/>
    <w:rsid w:val="00DA5685"/>
    <w:rsid w:val="00DD126C"/>
    <w:rsid w:val="00DD73F9"/>
    <w:rsid w:val="00DE5835"/>
    <w:rsid w:val="00DF08F9"/>
    <w:rsid w:val="00DF4F84"/>
    <w:rsid w:val="00E00732"/>
    <w:rsid w:val="00E108E8"/>
    <w:rsid w:val="00E41048"/>
    <w:rsid w:val="00E46C0E"/>
    <w:rsid w:val="00E514E3"/>
    <w:rsid w:val="00E61D19"/>
    <w:rsid w:val="00E64EFC"/>
    <w:rsid w:val="00E77178"/>
    <w:rsid w:val="00EA48F1"/>
    <w:rsid w:val="00EB4E44"/>
    <w:rsid w:val="00EC29A6"/>
    <w:rsid w:val="00EC627D"/>
    <w:rsid w:val="00EC6AFF"/>
    <w:rsid w:val="00ED547F"/>
    <w:rsid w:val="00ED793E"/>
    <w:rsid w:val="00EE1F82"/>
    <w:rsid w:val="00EE413C"/>
    <w:rsid w:val="00F12B7B"/>
    <w:rsid w:val="00F137E0"/>
    <w:rsid w:val="00F24D72"/>
    <w:rsid w:val="00F34A96"/>
    <w:rsid w:val="00F85D6B"/>
    <w:rsid w:val="00FA746C"/>
    <w:rsid w:val="00FC4CA9"/>
    <w:rsid w:val="00FD1266"/>
    <w:rsid w:val="00FD5B00"/>
    <w:rsid w:val="00FE17A1"/>
    <w:rsid w:val="00FE760E"/>
    <w:rsid w:val="00FF754D"/>
    <w:rsid w:val="00FF7D1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E353D4"/>
  <w15:chartTrackingRefBased/>
  <w15:docId w15:val="{347ACD93-4753-4847-8309-799DAA90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F5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C1DFD"/>
    <w:pPr>
      <w:tabs>
        <w:tab w:val="center" w:pos="4536"/>
        <w:tab w:val="right" w:pos="9072"/>
      </w:tabs>
      <w:spacing w:after="0" w:line="240" w:lineRule="auto"/>
    </w:pPr>
  </w:style>
  <w:style w:type="character" w:customStyle="1" w:styleId="En-tteCar">
    <w:name w:val="En-tête Car"/>
    <w:basedOn w:val="Policepardfaut"/>
    <w:link w:val="En-tte"/>
    <w:uiPriority w:val="99"/>
    <w:rsid w:val="004C1DFD"/>
  </w:style>
  <w:style w:type="paragraph" w:styleId="Pieddepage">
    <w:name w:val="footer"/>
    <w:basedOn w:val="Normal"/>
    <w:link w:val="PieddepageCar"/>
    <w:uiPriority w:val="99"/>
    <w:unhideWhenUsed/>
    <w:rsid w:val="004C1D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1DFD"/>
  </w:style>
  <w:style w:type="table" w:styleId="Grilledutableau">
    <w:name w:val="Table Grid"/>
    <w:basedOn w:val="TableauNormal"/>
    <w:uiPriority w:val="39"/>
    <w:rsid w:val="0082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623D4"/>
    <w:pPr>
      <w:ind w:left="720"/>
      <w:contextualSpacing/>
    </w:pPr>
  </w:style>
  <w:style w:type="table" w:customStyle="1" w:styleId="Grilledutableau1">
    <w:name w:val="Grille du tableau1"/>
    <w:basedOn w:val="TableauNormal"/>
    <w:next w:val="Grilledutableau"/>
    <w:uiPriority w:val="39"/>
    <w:rsid w:val="008E0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FD1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5B4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0D2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1854">
      <w:bodyDiv w:val="1"/>
      <w:marLeft w:val="0"/>
      <w:marRight w:val="0"/>
      <w:marTop w:val="0"/>
      <w:marBottom w:val="0"/>
      <w:divBdr>
        <w:top w:val="none" w:sz="0" w:space="0" w:color="auto"/>
        <w:left w:val="none" w:sz="0" w:space="0" w:color="auto"/>
        <w:bottom w:val="none" w:sz="0" w:space="0" w:color="auto"/>
        <w:right w:val="none" w:sz="0" w:space="0" w:color="auto"/>
      </w:divBdr>
    </w:div>
    <w:div w:id="343823219">
      <w:bodyDiv w:val="1"/>
      <w:marLeft w:val="0"/>
      <w:marRight w:val="0"/>
      <w:marTop w:val="0"/>
      <w:marBottom w:val="0"/>
      <w:divBdr>
        <w:top w:val="none" w:sz="0" w:space="0" w:color="auto"/>
        <w:left w:val="none" w:sz="0" w:space="0" w:color="auto"/>
        <w:bottom w:val="none" w:sz="0" w:space="0" w:color="auto"/>
        <w:right w:val="none" w:sz="0" w:space="0" w:color="auto"/>
      </w:divBdr>
    </w:div>
    <w:div w:id="438987394">
      <w:bodyDiv w:val="1"/>
      <w:marLeft w:val="0"/>
      <w:marRight w:val="0"/>
      <w:marTop w:val="0"/>
      <w:marBottom w:val="0"/>
      <w:divBdr>
        <w:top w:val="none" w:sz="0" w:space="0" w:color="auto"/>
        <w:left w:val="none" w:sz="0" w:space="0" w:color="auto"/>
        <w:bottom w:val="none" w:sz="0" w:space="0" w:color="auto"/>
        <w:right w:val="none" w:sz="0" w:space="0" w:color="auto"/>
      </w:divBdr>
    </w:div>
    <w:div w:id="550926201">
      <w:bodyDiv w:val="1"/>
      <w:marLeft w:val="0"/>
      <w:marRight w:val="0"/>
      <w:marTop w:val="0"/>
      <w:marBottom w:val="0"/>
      <w:divBdr>
        <w:top w:val="none" w:sz="0" w:space="0" w:color="auto"/>
        <w:left w:val="none" w:sz="0" w:space="0" w:color="auto"/>
        <w:bottom w:val="none" w:sz="0" w:space="0" w:color="auto"/>
        <w:right w:val="none" w:sz="0" w:space="0" w:color="auto"/>
      </w:divBdr>
    </w:div>
    <w:div w:id="1448768715">
      <w:bodyDiv w:val="1"/>
      <w:marLeft w:val="0"/>
      <w:marRight w:val="0"/>
      <w:marTop w:val="0"/>
      <w:marBottom w:val="0"/>
      <w:divBdr>
        <w:top w:val="none" w:sz="0" w:space="0" w:color="auto"/>
        <w:left w:val="none" w:sz="0" w:space="0" w:color="auto"/>
        <w:bottom w:val="none" w:sz="0" w:space="0" w:color="auto"/>
        <w:right w:val="none" w:sz="0" w:space="0" w:color="auto"/>
      </w:divBdr>
    </w:div>
    <w:div w:id="1500921473">
      <w:bodyDiv w:val="1"/>
      <w:marLeft w:val="0"/>
      <w:marRight w:val="0"/>
      <w:marTop w:val="0"/>
      <w:marBottom w:val="0"/>
      <w:divBdr>
        <w:top w:val="none" w:sz="0" w:space="0" w:color="auto"/>
        <w:left w:val="none" w:sz="0" w:space="0" w:color="auto"/>
        <w:bottom w:val="none" w:sz="0" w:space="0" w:color="auto"/>
        <w:right w:val="none" w:sz="0" w:space="0" w:color="auto"/>
      </w:divBdr>
    </w:div>
    <w:div w:id="1842619207">
      <w:bodyDiv w:val="1"/>
      <w:marLeft w:val="0"/>
      <w:marRight w:val="0"/>
      <w:marTop w:val="0"/>
      <w:marBottom w:val="0"/>
      <w:divBdr>
        <w:top w:val="none" w:sz="0" w:space="0" w:color="auto"/>
        <w:left w:val="none" w:sz="0" w:space="0" w:color="auto"/>
        <w:bottom w:val="none" w:sz="0" w:space="0" w:color="auto"/>
        <w:right w:val="none" w:sz="0" w:space="0" w:color="auto"/>
      </w:divBdr>
    </w:div>
    <w:div w:id="186824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AE723-2CEB-4095-B345-0E2A32B7F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2812</Words>
  <Characters>15468</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NETHYS</Company>
  <LinksUpToDate>false</LinksUpToDate>
  <CharactersWithSpaces>18244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Paque Michel</dc:creator>
  <cp:keywords/>
  <dc:description/>
  <cp:lastModifiedBy>COHEUR Murielle</cp:lastModifiedBy>
  <cp:revision>7</cp:revision>
  <dcterms:created xsi:type="dcterms:W3CDTF">2018-12-06T15:16:00Z</dcterms:created>
  <dcterms:modified xsi:type="dcterms:W3CDTF">2019-03-18T13:52:00Z</dcterms:modified>
</cp:coreProperties>
</file>